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8876" w14:textId="77777777" w:rsidR="008D0C55" w:rsidRDefault="00F66EB7">
      <w:pPr>
        <w:pStyle w:val="BodyText"/>
        <w:ind w:left="8830"/>
        <w:rPr>
          <w:rFonts w:ascii="Times New Roman"/>
          <w:b w:val="0"/>
          <w:sz w:val="20"/>
        </w:rPr>
      </w:pPr>
      <w:r>
        <w:rPr>
          <w:rFonts w:ascii="Times New Roman"/>
          <w:b w:val="0"/>
          <w:noProof/>
          <w:sz w:val="20"/>
        </w:rPr>
        <w:drawing>
          <wp:inline distT="0" distB="0" distL="0" distR="0" wp14:anchorId="139A1FF8" wp14:editId="1AC93900">
            <wp:extent cx="739512" cy="10789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9512" cy="1078992"/>
                    </a:xfrm>
                    <a:prstGeom prst="rect">
                      <a:avLst/>
                    </a:prstGeom>
                  </pic:spPr>
                </pic:pic>
              </a:graphicData>
            </a:graphic>
          </wp:inline>
        </w:drawing>
      </w:r>
    </w:p>
    <w:p w14:paraId="160D8E2D" w14:textId="77777777" w:rsidR="008D0C55" w:rsidRDefault="008D0C55">
      <w:pPr>
        <w:pStyle w:val="BodyText"/>
      </w:pPr>
    </w:p>
    <w:p w14:paraId="21141949" w14:textId="77777777" w:rsidR="008D0C55" w:rsidRDefault="00F66EB7">
      <w:pPr>
        <w:pStyle w:val="BodyText"/>
        <w:ind w:left="2947" w:right="2155" w:firstLine="840"/>
      </w:pPr>
      <w:r>
        <w:rPr>
          <w:u w:val="thick"/>
        </w:rPr>
        <w:t>Description of Course Unit</w:t>
      </w:r>
      <w:r>
        <w:rPr>
          <w:spacing w:val="1"/>
        </w:rPr>
        <w:t xml:space="preserve"> </w:t>
      </w:r>
      <w:r>
        <w:t>according</w:t>
      </w:r>
      <w:r>
        <w:rPr>
          <w:spacing w:val="-5"/>
        </w:rPr>
        <w:t xml:space="preserve"> </w:t>
      </w:r>
      <w:r>
        <w:t>to</w:t>
      </w:r>
      <w:r>
        <w:rPr>
          <w:spacing w:val="-4"/>
        </w:rPr>
        <w:t xml:space="preserve"> </w:t>
      </w:r>
      <w:r>
        <w:t>the</w:t>
      </w:r>
      <w:r>
        <w:rPr>
          <w:spacing w:val="-4"/>
        </w:rPr>
        <w:t xml:space="preserve"> </w:t>
      </w:r>
      <w:r>
        <w:t>ECTS</w:t>
      </w:r>
      <w:r>
        <w:rPr>
          <w:spacing w:val="-4"/>
        </w:rPr>
        <w:t xml:space="preserve"> </w:t>
      </w:r>
      <w:r>
        <w:t>User’s</w:t>
      </w:r>
      <w:r>
        <w:rPr>
          <w:spacing w:val="-4"/>
        </w:rPr>
        <w:t xml:space="preserve"> </w:t>
      </w:r>
      <w:r>
        <w:t>Guide</w:t>
      </w:r>
      <w:r>
        <w:rPr>
          <w:spacing w:val="-4"/>
        </w:rPr>
        <w:t xml:space="preserve"> </w:t>
      </w:r>
      <w:r>
        <w:t>2015</w:t>
      </w:r>
    </w:p>
    <w:p w14:paraId="1B1ABD32" w14:textId="52F268D0" w:rsidR="008D0C55" w:rsidRDefault="00F50854">
      <w:pPr>
        <w:pStyle w:val="BodyText"/>
        <w:spacing w:before="2"/>
      </w:pPr>
      <w:r>
        <w:t xml:space="preserve"> </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6300"/>
      </w:tblGrid>
      <w:tr w:rsidR="008D0C55" w14:paraId="65189C02" w14:textId="77777777">
        <w:trPr>
          <w:trHeight w:val="506"/>
        </w:trPr>
        <w:tc>
          <w:tcPr>
            <w:tcW w:w="3562" w:type="dxa"/>
          </w:tcPr>
          <w:p w14:paraId="6BD8D910" w14:textId="77777777" w:rsidR="008D0C55" w:rsidRDefault="00F66EB7">
            <w:pPr>
              <w:pStyle w:val="TableParagraph"/>
              <w:spacing w:line="250" w:lineRule="exact"/>
            </w:pPr>
            <w:r>
              <w:t>Course</w:t>
            </w:r>
            <w:r>
              <w:rPr>
                <w:spacing w:val="-1"/>
              </w:rPr>
              <w:t xml:space="preserve"> </w:t>
            </w:r>
            <w:r>
              <w:t>unit</w:t>
            </w:r>
            <w:r>
              <w:rPr>
                <w:spacing w:val="-2"/>
              </w:rPr>
              <w:t xml:space="preserve"> </w:t>
            </w:r>
            <w:r>
              <w:t>title</w:t>
            </w:r>
          </w:p>
        </w:tc>
        <w:tc>
          <w:tcPr>
            <w:tcW w:w="6300" w:type="dxa"/>
          </w:tcPr>
          <w:p w14:paraId="790C39F6" w14:textId="77777777" w:rsidR="008D0C55" w:rsidRPr="00951BEF" w:rsidRDefault="003C7D02" w:rsidP="00951BEF">
            <w:pPr>
              <w:pStyle w:val="TableParagraph"/>
              <w:ind w:left="0"/>
              <w:jc w:val="both"/>
            </w:pPr>
            <w:r w:rsidRPr="00951BEF">
              <w:t>Strategic and Operation Management</w:t>
            </w:r>
          </w:p>
        </w:tc>
      </w:tr>
      <w:tr w:rsidR="008D0C55" w14:paraId="36560BE4" w14:textId="77777777">
        <w:trPr>
          <w:trHeight w:val="505"/>
        </w:trPr>
        <w:tc>
          <w:tcPr>
            <w:tcW w:w="3562" w:type="dxa"/>
          </w:tcPr>
          <w:p w14:paraId="7C25EC7D" w14:textId="77777777" w:rsidR="008D0C55" w:rsidRDefault="00F66EB7">
            <w:pPr>
              <w:pStyle w:val="TableParagraph"/>
              <w:spacing w:line="250" w:lineRule="exact"/>
            </w:pPr>
            <w:r>
              <w:t>Course</w:t>
            </w:r>
            <w:r>
              <w:rPr>
                <w:spacing w:val="-1"/>
              </w:rPr>
              <w:t xml:space="preserve"> </w:t>
            </w:r>
            <w:r>
              <w:t>unit</w:t>
            </w:r>
            <w:r>
              <w:rPr>
                <w:spacing w:val="-2"/>
              </w:rPr>
              <w:t xml:space="preserve"> </w:t>
            </w:r>
            <w:r>
              <w:t>code</w:t>
            </w:r>
          </w:p>
        </w:tc>
        <w:tc>
          <w:tcPr>
            <w:tcW w:w="6300" w:type="dxa"/>
          </w:tcPr>
          <w:p w14:paraId="55EE699A" w14:textId="77777777" w:rsidR="008D0C55" w:rsidRPr="00951BEF" w:rsidRDefault="003C7D02" w:rsidP="00951BEF">
            <w:pPr>
              <w:pStyle w:val="TableParagraph"/>
              <w:ind w:left="0"/>
              <w:jc w:val="both"/>
            </w:pPr>
            <w:r w:rsidRPr="00951BEF">
              <w:t>MNO801</w:t>
            </w:r>
          </w:p>
        </w:tc>
      </w:tr>
      <w:tr w:rsidR="008D0C55" w14:paraId="5CC6CEDF" w14:textId="77777777">
        <w:trPr>
          <w:trHeight w:val="505"/>
        </w:trPr>
        <w:tc>
          <w:tcPr>
            <w:tcW w:w="3562" w:type="dxa"/>
          </w:tcPr>
          <w:p w14:paraId="1E130697" w14:textId="2C18132D" w:rsidR="008D0C55" w:rsidRDefault="00F66EB7">
            <w:pPr>
              <w:pStyle w:val="TableParagraph"/>
              <w:spacing w:line="254" w:lineRule="exact"/>
              <w:ind w:right="288"/>
            </w:pPr>
            <w:r>
              <w:t>Type</w:t>
            </w:r>
            <w:r>
              <w:rPr>
                <w:spacing w:val="-5"/>
              </w:rPr>
              <w:t xml:space="preserve"> </w:t>
            </w:r>
            <w:r>
              <w:t>of</w:t>
            </w:r>
            <w:r>
              <w:rPr>
                <w:spacing w:val="-4"/>
              </w:rPr>
              <w:t xml:space="preserve"> </w:t>
            </w:r>
            <w:r>
              <w:t>course</w:t>
            </w:r>
            <w:r>
              <w:rPr>
                <w:spacing w:val="-4"/>
              </w:rPr>
              <w:t xml:space="preserve"> </w:t>
            </w:r>
            <w:r>
              <w:t>unit</w:t>
            </w:r>
            <w:r>
              <w:rPr>
                <w:spacing w:val="-4"/>
              </w:rPr>
              <w:t xml:space="preserve"> </w:t>
            </w:r>
            <w:r>
              <w:t>(</w:t>
            </w:r>
            <w:r w:rsidR="00FB2A35">
              <w:t>C</w:t>
            </w:r>
            <w:r>
              <w:t>ompulsory,</w:t>
            </w:r>
            <w:r>
              <w:rPr>
                <w:spacing w:val="-58"/>
              </w:rPr>
              <w:t xml:space="preserve"> </w:t>
            </w:r>
            <w:r>
              <w:t>optional)</w:t>
            </w:r>
          </w:p>
        </w:tc>
        <w:tc>
          <w:tcPr>
            <w:tcW w:w="6300" w:type="dxa"/>
          </w:tcPr>
          <w:p w14:paraId="5AF0A3BF" w14:textId="77777777" w:rsidR="008D0C55" w:rsidRPr="00951BEF" w:rsidRDefault="003C7D02" w:rsidP="00951BEF">
            <w:pPr>
              <w:pStyle w:val="TableParagraph"/>
              <w:ind w:left="0"/>
              <w:jc w:val="both"/>
            </w:pPr>
            <w:r w:rsidRPr="00951BEF">
              <w:t>Optional</w:t>
            </w:r>
          </w:p>
        </w:tc>
      </w:tr>
      <w:tr w:rsidR="008D0C55" w14:paraId="7AA999F7" w14:textId="77777777">
        <w:trPr>
          <w:trHeight w:val="757"/>
        </w:trPr>
        <w:tc>
          <w:tcPr>
            <w:tcW w:w="3562" w:type="dxa"/>
          </w:tcPr>
          <w:p w14:paraId="51FB1DD9" w14:textId="77777777" w:rsidR="008D0C55" w:rsidRDefault="00F66EB7">
            <w:pPr>
              <w:pStyle w:val="TableParagraph"/>
              <w:spacing w:line="248" w:lineRule="exact"/>
            </w:pPr>
            <w:r>
              <w:t>Level</w:t>
            </w:r>
            <w:r>
              <w:rPr>
                <w:spacing w:val="-1"/>
              </w:rPr>
              <w:t xml:space="preserve"> </w:t>
            </w:r>
            <w:r>
              <w:t>of</w:t>
            </w:r>
            <w:r>
              <w:rPr>
                <w:spacing w:val="-1"/>
              </w:rPr>
              <w:t xml:space="preserve"> </w:t>
            </w:r>
            <w:r>
              <w:t>course</w:t>
            </w:r>
            <w:r>
              <w:rPr>
                <w:spacing w:val="-1"/>
              </w:rPr>
              <w:t xml:space="preserve"> </w:t>
            </w:r>
            <w:r>
              <w:t>unit</w:t>
            </w:r>
            <w:r>
              <w:rPr>
                <w:spacing w:val="-1"/>
              </w:rPr>
              <w:t xml:space="preserve"> </w:t>
            </w:r>
            <w:r>
              <w:t>(according</w:t>
            </w:r>
            <w:r>
              <w:rPr>
                <w:spacing w:val="-1"/>
              </w:rPr>
              <w:t xml:space="preserve"> </w:t>
            </w:r>
            <w:r>
              <w:t>to</w:t>
            </w:r>
          </w:p>
          <w:p w14:paraId="29B4E9B2" w14:textId="77777777" w:rsidR="008D0C55" w:rsidRDefault="00F66EB7">
            <w:pPr>
              <w:pStyle w:val="TableParagraph"/>
              <w:spacing w:line="250" w:lineRule="atLeast"/>
              <w:ind w:right="210"/>
            </w:pPr>
            <w:r>
              <w:t>EQF: first cycle Bachelor, second</w:t>
            </w:r>
            <w:r>
              <w:rPr>
                <w:spacing w:val="-59"/>
              </w:rPr>
              <w:t xml:space="preserve"> </w:t>
            </w:r>
            <w:r>
              <w:t>cycle</w:t>
            </w:r>
            <w:r>
              <w:rPr>
                <w:spacing w:val="-1"/>
              </w:rPr>
              <w:t xml:space="preserve"> </w:t>
            </w:r>
            <w:r>
              <w:t>Master)</w:t>
            </w:r>
          </w:p>
        </w:tc>
        <w:tc>
          <w:tcPr>
            <w:tcW w:w="6300" w:type="dxa"/>
          </w:tcPr>
          <w:p w14:paraId="1C761FAB" w14:textId="32A4803D" w:rsidR="008D0C55" w:rsidRPr="00951BEF" w:rsidRDefault="00FB2A35" w:rsidP="00951BEF">
            <w:pPr>
              <w:pStyle w:val="TableParagraph"/>
              <w:ind w:left="0"/>
              <w:jc w:val="both"/>
            </w:pPr>
            <w:r>
              <w:t xml:space="preserve">The </w:t>
            </w:r>
            <w:r w:rsidR="003C7D02" w:rsidRPr="00951BEF">
              <w:t>Third Cycle</w:t>
            </w:r>
            <w:r>
              <w:t xml:space="preserve"> of</w:t>
            </w:r>
            <w:r w:rsidR="003C7D02" w:rsidRPr="00951BEF">
              <w:t xml:space="preserve"> Doctora</w:t>
            </w:r>
            <w:r>
              <w:t>l Degree Program</w:t>
            </w:r>
          </w:p>
        </w:tc>
      </w:tr>
      <w:tr w:rsidR="008D0C55" w14:paraId="108C161B" w14:textId="77777777">
        <w:trPr>
          <w:trHeight w:val="758"/>
        </w:trPr>
        <w:tc>
          <w:tcPr>
            <w:tcW w:w="3562" w:type="dxa"/>
          </w:tcPr>
          <w:p w14:paraId="5784976F" w14:textId="77777777" w:rsidR="008D0C55" w:rsidRDefault="00F66EB7">
            <w:pPr>
              <w:pStyle w:val="TableParagraph"/>
              <w:ind w:right="75"/>
            </w:pPr>
            <w:r>
              <w:t>Year of study when the course unit</w:t>
            </w:r>
            <w:r>
              <w:rPr>
                <w:spacing w:val="-59"/>
              </w:rPr>
              <w:t xml:space="preserve"> </w:t>
            </w:r>
            <w:r>
              <w:t>is</w:t>
            </w:r>
            <w:r>
              <w:rPr>
                <w:spacing w:val="-1"/>
              </w:rPr>
              <w:t xml:space="preserve"> </w:t>
            </w:r>
            <w:r>
              <w:t>delivered</w:t>
            </w:r>
          </w:p>
          <w:p w14:paraId="14B25D29" w14:textId="77777777" w:rsidR="008D0C55" w:rsidRDefault="00F66EB7">
            <w:pPr>
              <w:pStyle w:val="TableParagraph"/>
              <w:spacing w:line="234" w:lineRule="exact"/>
            </w:pPr>
            <w:r>
              <w:t>(if</w:t>
            </w:r>
            <w:r>
              <w:rPr>
                <w:spacing w:val="-2"/>
              </w:rPr>
              <w:t xml:space="preserve"> </w:t>
            </w:r>
            <w:r>
              <w:t>applicable)</w:t>
            </w:r>
          </w:p>
        </w:tc>
        <w:tc>
          <w:tcPr>
            <w:tcW w:w="6300" w:type="dxa"/>
          </w:tcPr>
          <w:p w14:paraId="19ACAD96" w14:textId="77777777" w:rsidR="008D0C55" w:rsidRPr="00951BEF" w:rsidRDefault="003C7D02" w:rsidP="00951BEF">
            <w:pPr>
              <w:pStyle w:val="TableParagraph"/>
              <w:ind w:left="0"/>
              <w:jc w:val="both"/>
            </w:pPr>
            <w:r w:rsidRPr="00951BEF">
              <w:t>2020 – 2021</w:t>
            </w:r>
          </w:p>
        </w:tc>
      </w:tr>
      <w:tr w:rsidR="008D0C55" w14:paraId="06FA6768" w14:textId="77777777">
        <w:trPr>
          <w:trHeight w:val="759"/>
        </w:trPr>
        <w:tc>
          <w:tcPr>
            <w:tcW w:w="3562" w:type="dxa"/>
          </w:tcPr>
          <w:p w14:paraId="6938CFA4" w14:textId="77777777" w:rsidR="008D0C55" w:rsidRDefault="00F66EB7">
            <w:pPr>
              <w:pStyle w:val="TableParagraph"/>
              <w:ind w:right="650"/>
            </w:pPr>
            <w:r>
              <w:t>Semester/trimester when the</w:t>
            </w:r>
            <w:r>
              <w:rPr>
                <w:spacing w:val="-60"/>
              </w:rPr>
              <w:t xml:space="preserve"> </w:t>
            </w:r>
            <w:r>
              <w:t>course</w:t>
            </w:r>
            <w:r>
              <w:rPr>
                <w:spacing w:val="-1"/>
              </w:rPr>
              <w:t xml:space="preserve"> </w:t>
            </w:r>
            <w:r>
              <w:t>unit</w:t>
            </w:r>
            <w:r>
              <w:rPr>
                <w:spacing w:val="-1"/>
              </w:rPr>
              <w:t xml:space="preserve"> </w:t>
            </w:r>
            <w:r>
              <w:t>is</w:t>
            </w:r>
            <w:r>
              <w:rPr>
                <w:spacing w:val="-1"/>
              </w:rPr>
              <w:t xml:space="preserve"> </w:t>
            </w:r>
            <w:r>
              <w:t>delivered</w:t>
            </w:r>
          </w:p>
        </w:tc>
        <w:tc>
          <w:tcPr>
            <w:tcW w:w="6300" w:type="dxa"/>
          </w:tcPr>
          <w:p w14:paraId="4382AB82" w14:textId="77777777" w:rsidR="008D0C55" w:rsidRPr="00951BEF" w:rsidRDefault="003C7D02" w:rsidP="00951BEF">
            <w:pPr>
              <w:pStyle w:val="TableParagraph"/>
              <w:ind w:left="0"/>
              <w:jc w:val="both"/>
            </w:pPr>
            <w:r w:rsidRPr="00951BEF">
              <w:t>3</w:t>
            </w:r>
            <w:r w:rsidRPr="00951BEF">
              <w:rPr>
                <w:vertAlign w:val="superscript"/>
              </w:rPr>
              <w:t>rd</w:t>
            </w:r>
            <w:r w:rsidRPr="00951BEF">
              <w:t xml:space="preserve"> Semester of Doctorate Study</w:t>
            </w:r>
          </w:p>
        </w:tc>
      </w:tr>
      <w:tr w:rsidR="008D0C55" w14:paraId="6C60D5AA" w14:textId="77777777">
        <w:trPr>
          <w:trHeight w:val="506"/>
        </w:trPr>
        <w:tc>
          <w:tcPr>
            <w:tcW w:w="3562" w:type="dxa"/>
          </w:tcPr>
          <w:p w14:paraId="4F5DB7B4" w14:textId="77777777" w:rsidR="008D0C55" w:rsidRDefault="00F66EB7">
            <w:pPr>
              <w:pStyle w:val="TableParagraph"/>
              <w:spacing w:line="250" w:lineRule="exact"/>
            </w:pPr>
            <w:r>
              <w:t>Number</w:t>
            </w:r>
            <w:r>
              <w:rPr>
                <w:spacing w:val="-2"/>
              </w:rPr>
              <w:t xml:space="preserve"> </w:t>
            </w:r>
            <w:r>
              <w:t>of</w:t>
            </w:r>
            <w:r>
              <w:rPr>
                <w:spacing w:val="-1"/>
              </w:rPr>
              <w:t xml:space="preserve"> </w:t>
            </w:r>
            <w:r>
              <w:t>ECTS</w:t>
            </w:r>
            <w:r>
              <w:rPr>
                <w:spacing w:val="-1"/>
              </w:rPr>
              <w:t xml:space="preserve"> </w:t>
            </w:r>
            <w:r>
              <w:t>credits</w:t>
            </w:r>
            <w:r>
              <w:rPr>
                <w:spacing w:val="-2"/>
              </w:rPr>
              <w:t xml:space="preserve"> </w:t>
            </w:r>
            <w:r>
              <w:t>allocated</w:t>
            </w:r>
          </w:p>
        </w:tc>
        <w:tc>
          <w:tcPr>
            <w:tcW w:w="6300" w:type="dxa"/>
          </w:tcPr>
          <w:p w14:paraId="595D53B3" w14:textId="77777777" w:rsidR="008D0C55" w:rsidRPr="00951BEF" w:rsidRDefault="00951BEF" w:rsidP="00951BEF">
            <w:pPr>
              <w:pStyle w:val="TableParagraph"/>
              <w:ind w:left="0"/>
              <w:jc w:val="both"/>
            </w:pPr>
            <w:r>
              <w:t>9.6 credits</w:t>
            </w:r>
          </w:p>
        </w:tc>
      </w:tr>
      <w:tr w:rsidR="008D0C55" w14:paraId="47009D94" w14:textId="77777777">
        <w:trPr>
          <w:trHeight w:val="506"/>
        </w:trPr>
        <w:tc>
          <w:tcPr>
            <w:tcW w:w="3562" w:type="dxa"/>
          </w:tcPr>
          <w:p w14:paraId="59F1BA37" w14:textId="1D5C5A3D" w:rsidR="008D0C55" w:rsidRDefault="00F66EB7">
            <w:pPr>
              <w:pStyle w:val="TableParagraph"/>
              <w:spacing w:line="250" w:lineRule="exact"/>
            </w:pPr>
            <w:r>
              <w:t>Name</w:t>
            </w:r>
            <w:r>
              <w:rPr>
                <w:spacing w:val="-2"/>
              </w:rPr>
              <w:t xml:space="preserve"> </w:t>
            </w:r>
            <w:r>
              <w:t>of</w:t>
            </w:r>
            <w:r>
              <w:rPr>
                <w:spacing w:val="-1"/>
              </w:rPr>
              <w:t xml:space="preserve"> </w:t>
            </w:r>
            <w:r>
              <w:t>lecturer(s)</w:t>
            </w:r>
          </w:p>
        </w:tc>
        <w:tc>
          <w:tcPr>
            <w:tcW w:w="6300" w:type="dxa"/>
          </w:tcPr>
          <w:p w14:paraId="2981B9B5" w14:textId="77777777" w:rsidR="003C7D02" w:rsidRPr="00951BEF" w:rsidRDefault="003C7D02" w:rsidP="00951BEF">
            <w:pPr>
              <w:tabs>
                <w:tab w:val="num" w:pos="-1440"/>
                <w:tab w:val="left" w:pos="3060"/>
              </w:tabs>
              <w:jc w:val="both"/>
              <w:rPr>
                <w:lang w:val="id-ID"/>
              </w:rPr>
            </w:pPr>
            <w:r w:rsidRPr="00951BEF">
              <w:rPr>
                <w:lang w:val="id-ID"/>
              </w:rPr>
              <w:t xml:space="preserve">1. Prof. </w:t>
            </w:r>
            <w:r w:rsidRPr="00951BEF">
              <w:t xml:space="preserve">Badri Munir </w:t>
            </w:r>
            <w:proofErr w:type="spellStart"/>
            <w:r w:rsidRPr="00951BEF">
              <w:t>Sukoco</w:t>
            </w:r>
            <w:proofErr w:type="spellEnd"/>
            <w:r w:rsidRPr="00951BEF">
              <w:t>, MBA.,</w:t>
            </w:r>
            <w:proofErr w:type="spellStart"/>
            <w:r w:rsidRPr="00951BEF">
              <w:t>Ph.D</w:t>
            </w:r>
            <w:proofErr w:type="spellEnd"/>
          </w:p>
          <w:p w14:paraId="70BE138B" w14:textId="77777777" w:rsidR="008D0C55" w:rsidRPr="00951BEF" w:rsidRDefault="003C7D02" w:rsidP="00951BEF">
            <w:pPr>
              <w:pStyle w:val="TableParagraph"/>
              <w:ind w:left="0"/>
              <w:jc w:val="both"/>
            </w:pPr>
            <w:r w:rsidRPr="00951BEF">
              <w:rPr>
                <w:lang w:val="id-ID"/>
              </w:rPr>
              <w:t>2. Dr. Indrianawati Usman, SE., M.Sc</w:t>
            </w:r>
          </w:p>
        </w:tc>
      </w:tr>
      <w:tr w:rsidR="008D0C55" w14:paraId="4B7CBB6E" w14:textId="77777777">
        <w:trPr>
          <w:trHeight w:val="759"/>
        </w:trPr>
        <w:tc>
          <w:tcPr>
            <w:tcW w:w="3562" w:type="dxa"/>
          </w:tcPr>
          <w:p w14:paraId="7DAA07C2" w14:textId="6210C1C7" w:rsidR="008D0C55" w:rsidRDefault="00F66EB7">
            <w:pPr>
              <w:pStyle w:val="TableParagraph"/>
              <w:ind w:right="258"/>
            </w:pPr>
            <w:r>
              <w:t xml:space="preserve">Learning outcomes </w:t>
            </w:r>
            <w:r w:rsidR="00414B4D">
              <w:t>of the course unit</w:t>
            </w:r>
          </w:p>
        </w:tc>
        <w:tc>
          <w:tcPr>
            <w:tcW w:w="6300" w:type="dxa"/>
          </w:tcPr>
          <w:p w14:paraId="7EF8AB3D" w14:textId="5464F660" w:rsidR="003C7D02" w:rsidRPr="00951BEF" w:rsidRDefault="003C7D02" w:rsidP="00951BEF">
            <w:pPr>
              <w:pStyle w:val="TableParagraph"/>
              <w:jc w:val="both"/>
            </w:pPr>
            <w:r w:rsidRPr="00951BEF">
              <w:t xml:space="preserve">After </w:t>
            </w:r>
            <w:r w:rsidR="00FB2A35">
              <w:t>completing the</w:t>
            </w:r>
            <w:r w:rsidRPr="00951BEF">
              <w:t xml:space="preserve"> course, </w:t>
            </w:r>
            <w:r w:rsidR="00FB2A35">
              <w:t xml:space="preserve">the </w:t>
            </w:r>
            <w:r w:rsidRPr="00951BEF">
              <w:t xml:space="preserve">students are expected to </w:t>
            </w:r>
            <w:r w:rsidR="00FB2A35">
              <w:t xml:space="preserve">gain the following competencies: </w:t>
            </w:r>
          </w:p>
          <w:p w14:paraId="24CE367A" w14:textId="5799464D" w:rsidR="003C7D02" w:rsidRPr="00951BEF" w:rsidRDefault="003C7D02" w:rsidP="00951BEF">
            <w:pPr>
              <w:pStyle w:val="TableParagraph"/>
              <w:numPr>
                <w:ilvl w:val="0"/>
                <w:numId w:val="1"/>
              </w:numPr>
              <w:ind w:right="196"/>
              <w:jc w:val="both"/>
            </w:pPr>
            <w:r w:rsidRPr="00951BEF">
              <w:t>Understand</w:t>
            </w:r>
            <w:r w:rsidR="00FB2A35">
              <w:t>ing</w:t>
            </w:r>
            <w:r w:rsidRPr="00951BEF">
              <w:t xml:space="preserve"> and synthesiz</w:t>
            </w:r>
            <w:r w:rsidR="00FB2A35">
              <w:t>ing</w:t>
            </w:r>
            <w:r w:rsidRPr="00951BEF">
              <w:t xml:space="preserve"> </w:t>
            </w:r>
            <w:r w:rsidR="00FB2A35">
              <w:t xml:space="preserve">the </w:t>
            </w:r>
            <w:r w:rsidRPr="00951BEF">
              <w:t>strategic and operations</w:t>
            </w:r>
            <w:r w:rsidR="00FB2A35">
              <w:t xml:space="preserve"> of</w:t>
            </w:r>
            <w:r w:rsidRPr="00951BEF">
              <w:t xml:space="preserve"> management theory</w:t>
            </w:r>
            <w:r w:rsidR="00FB2A35">
              <w:t>.</w:t>
            </w:r>
          </w:p>
          <w:p w14:paraId="160CAEC7" w14:textId="2E2ACFA4" w:rsidR="003C7D02" w:rsidRPr="00951BEF" w:rsidRDefault="00FB2A35" w:rsidP="00951BEF">
            <w:pPr>
              <w:pStyle w:val="TableParagraph"/>
              <w:numPr>
                <w:ilvl w:val="0"/>
                <w:numId w:val="1"/>
              </w:numPr>
              <w:ind w:right="196"/>
              <w:jc w:val="both"/>
            </w:pPr>
            <w:r>
              <w:t>Achieving</w:t>
            </w:r>
            <w:r w:rsidR="003C7D02" w:rsidRPr="00951BEF">
              <w:t xml:space="preserve"> in-depth and comprehensive knowledge of concepts in strategic and operations management disciplines according to their study interests.</w:t>
            </w:r>
          </w:p>
          <w:p w14:paraId="7F99D491" w14:textId="3B6C8DFC" w:rsidR="008D0C55" w:rsidRPr="00951BEF" w:rsidRDefault="00FB2A35" w:rsidP="00951BEF">
            <w:pPr>
              <w:pStyle w:val="TableParagraph"/>
              <w:numPr>
                <w:ilvl w:val="0"/>
                <w:numId w:val="1"/>
              </w:numPr>
              <w:ind w:right="196"/>
              <w:jc w:val="both"/>
            </w:pPr>
            <w:r>
              <w:t>Being a</w:t>
            </w:r>
            <w:r w:rsidR="003C7D02" w:rsidRPr="00951BEF">
              <w:t>ble to synthesize strategic and operations management theory to develop conceptual models and designs as the conceptual basis for research in the preparation of a dissertation</w:t>
            </w:r>
            <w:r>
              <w:t>.</w:t>
            </w:r>
          </w:p>
        </w:tc>
      </w:tr>
      <w:tr w:rsidR="008D0C55" w14:paraId="28FE489F" w14:textId="77777777">
        <w:trPr>
          <w:trHeight w:val="759"/>
        </w:trPr>
        <w:tc>
          <w:tcPr>
            <w:tcW w:w="3562" w:type="dxa"/>
          </w:tcPr>
          <w:p w14:paraId="0B2F5570" w14:textId="4233536C" w:rsidR="008D0C55" w:rsidRDefault="00414B4D">
            <w:pPr>
              <w:pStyle w:val="TableParagraph"/>
              <w:ind w:right="491"/>
            </w:pPr>
            <w:r>
              <w:t>Mode of delivery</w:t>
            </w:r>
            <w:r w:rsidR="00F66EB7">
              <w:t xml:space="preserve"> (face-to-face,</w:t>
            </w:r>
            <w:r w:rsidR="00F66EB7">
              <w:rPr>
                <w:spacing w:val="-59"/>
              </w:rPr>
              <w:t xml:space="preserve"> </w:t>
            </w:r>
            <w:r w:rsidR="00F66EB7">
              <w:t>distance</w:t>
            </w:r>
            <w:r w:rsidR="00F66EB7">
              <w:rPr>
                <w:spacing w:val="-2"/>
              </w:rPr>
              <w:t xml:space="preserve"> </w:t>
            </w:r>
            <w:r w:rsidR="00F66EB7">
              <w:t>learning)</w:t>
            </w:r>
          </w:p>
        </w:tc>
        <w:tc>
          <w:tcPr>
            <w:tcW w:w="6300" w:type="dxa"/>
          </w:tcPr>
          <w:p w14:paraId="31ED616F" w14:textId="77777777" w:rsidR="003C7D02" w:rsidRPr="00951BEF" w:rsidRDefault="003C7D02" w:rsidP="00951BEF">
            <w:pPr>
              <w:pStyle w:val="TableParagraph"/>
              <w:numPr>
                <w:ilvl w:val="0"/>
                <w:numId w:val="2"/>
              </w:numPr>
              <w:jc w:val="both"/>
              <w:rPr>
                <w:rFonts w:cs="Arial"/>
              </w:rPr>
            </w:pPr>
            <w:r w:rsidRPr="00951BEF">
              <w:rPr>
                <w:rFonts w:cs="Arial"/>
              </w:rPr>
              <w:t xml:space="preserve">Face-to-face </w:t>
            </w:r>
          </w:p>
          <w:p w14:paraId="7ABFBE8E" w14:textId="77777777" w:rsidR="008D0C55" w:rsidRPr="00951BEF" w:rsidRDefault="003C7D02" w:rsidP="00951BEF">
            <w:pPr>
              <w:pStyle w:val="TableParagraph"/>
              <w:numPr>
                <w:ilvl w:val="0"/>
                <w:numId w:val="2"/>
              </w:numPr>
              <w:jc w:val="both"/>
              <w:rPr>
                <w:rFonts w:cs="Arial"/>
              </w:rPr>
            </w:pPr>
            <w:r w:rsidRPr="00951BEF">
              <w:rPr>
                <w:rFonts w:cs="Arial"/>
              </w:rPr>
              <w:t>Distance learning using AULA UNAIR (due to pandemic COVID-19 situation)</w:t>
            </w:r>
          </w:p>
        </w:tc>
      </w:tr>
      <w:tr w:rsidR="008D0C55" w14:paraId="5E63C656" w14:textId="77777777">
        <w:trPr>
          <w:trHeight w:val="758"/>
        </w:trPr>
        <w:tc>
          <w:tcPr>
            <w:tcW w:w="3562" w:type="dxa"/>
          </w:tcPr>
          <w:p w14:paraId="3E34B921" w14:textId="77777777" w:rsidR="008D0C55" w:rsidRDefault="00F66EB7">
            <w:pPr>
              <w:pStyle w:val="TableParagraph"/>
              <w:ind w:right="442"/>
            </w:pPr>
            <w:r>
              <w:t>Prerequisites and co-requisites</w:t>
            </w:r>
            <w:r>
              <w:rPr>
                <w:spacing w:val="-60"/>
              </w:rPr>
              <w:t xml:space="preserve"> </w:t>
            </w:r>
            <w:r>
              <w:t>(if</w:t>
            </w:r>
            <w:r>
              <w:rPr>
                <w:spacing w:val="-1"/>
              </w:rPr>
              <w:t xml:space="preserve"> </w:t>
            </w:r>
            <w:r>
              <w:t>applicable)</w:t>
            </w:r>
          </w:p>
        </w:tc>
        <w:tc>
          <w:tcPr>
            <w:tcW w:w="6300" w:type="dxa"/>
          </w:tcPr>
          <w:p w14:paraId="07AEF7C4" w14:textId="77777777" w:rsidR="008D0C55" w:rsidRPr="00951BEF" w:rsidRDefault="008D0C55" w:rsidP="00951BEF">
            <w:pPr>
              <w:pStyle w:val="TableParagraph"/>
              <w:numPr>
                <w:ilvl w:val="0"/>
                <w:numId w:val="1"/>
              </w:numPr>
              <w:jc w:val="both"/>
            </w:pPr>
          </w:p>
        </w:tc>
      </w:tr>
      <w:tr w:rsidR="008D0C55" w14:paraId="12037C21" w14:textId="77777777">
        <w:trPr>
          <w:trHeight w:val="505"/>
        </w:trPr>
        <w:tc>
          <w:tcPr>
            <w:tcW w:w="3562" w:type="dxa"/>
          </w:tcPr>
          <w:p w14:paraId="34BCAA8F" w14:textId="58FD5050" w:rsidR="008D0C55" w:rsidRDefault="00F66EB7">
            <w:pPr>
              <w:pStyle w:val="TableParagraph"/>
              <w:spacing w:line="252" w:lineRule="exact"/>
            </w:pPr>
            <w:r>
              <w:t>Course</w:t>
            </w:r>
            <w:r>
              <w:rPr>
                <w:spacing w:val="-3"/>
              </w:rPr>
              <w:t xml:space="preserve"> </w:t>
            </w:r>
            <w:r>
              <w:t>content</w:t>
            </w:r>
            <w:r w:rsidR="00FB2A35">
              <w:t>s</w:t>
            </w:r>
          </w:p>
        </w:tc>
        <w:tc>
          <w:tcPr>
            <w:tcW w:w="6300" w:type="dxa"/>
          </w:tcPr>
          <w:p w14:paraId="44E7F735" w14:textId="404CA4C1" w:rsidR="008D0C55" w:rsidRPr="00951BEF" w:rsidRDefault="003C7D02" w:rsidP="00951BEF">
            <w:pPr>
              <w:pStyle w:val="TableParagraph"/>
              <w:ind w:left="0" w:right="196"/>
              <w:jc w:val="both"/>
            </w:pPr>
            <w:r w:rsidRPr="00951BEF">
              <w:t xml:space="preserve">This course is designed as a </w:t>
            </w:r>
            <w:r w:rsidR="00FB2A35">
              <w:t>medium to extend</w:t>
            </w:r>
            <w:r w:rsidRPr="00951BEF">
              <w:t xml:space="preserve"> the latest research issues in a dynamic environment in the discipline of strategic and operations management, including other issues related to the development of a dynamic industrial environment. </w:t>
            </w:r>
            <w:r w:rsidR="00FB2A35">
              <w:t xml:space="preserve">The </w:t>
            </w:r>
            <w:r w:rsidRPr="00951BEF">
              <w:t>Issues are not only limited to</w:t>
            </w:r>
            <w:r w:rsidR="00FB2A35">
              <w:t xml:space="preserve"> the</w:t>
            </w:r>
            <w:r w:rsidRPr="00951BEF">
              <w:t xml:space="preserve"> strateg</w:t>
            </w:r>
            <w:r w:rsidR="00FB2A35">
              <w:t>ies</w:t>
            </w:r>
            <w:r w:rsidRPr="00951BEF">
              <w:t xml:space="preserve"> within one company, but also inter-organizational collaboration. Strategic and operations management is an aspect of the discipline </w:t>
            </w:r>
            <w:r w:rsidR="00FB2A35">
              <w:t xml:space="preserve">covering </w:t>
            </w:r>
            <w:r w:rsidRPr="00951BEF">
              <w:t xml:space="preserve">business process management, supply chain management and its relevance to the organization's strategic plan to deal with </w:t>
            </w:r>
            <w:r w:rsidR="00FB2A35">
              <w:t xml:space="preserve">the </w:t>
            </w:r>
            <w:r w:rsidRPr="00951BEF">
              <w:t xml:space="preserve">dynamic environmental changes and developments in information technology. Discussions on various issues of current phenomena and research methodologies related to strategic, operations, logistics and supply chain issues will be presented and discussed through the discussion of relevant articles as the basis for the concept </w:t>
            </w:r>
            <w:r w:rsidRPr="00951BEF">
              <w:lastRenderedPageBreak/>
              <w:t>of a dissertation on the interest of strategic management and operations studies.</w:t>
            </w:r>
          </w:p>
        </w:tc>
      </w:tr>
      <w:tr w:rsidR="008D0C55" w14:paraId="1D4BD32B" w14:textId="77777777">
        <w:trPr>
          <w:trHeight w:val="759"/>
        </w:trPr>
        <w:tc>
          <w:tcPr>
            <w:tcW w:w="3562" w:type="dxa"/>
          </w:tcPr>
          <w:p w14:paraId="2ABDC998" w14:textId="77777777" w:rsidR="008D0C55" w:rsidRDefault="00F66EB7">
            <w:pPr>
              <w:pStyle w:val="TableParagraph"/>
              <w:spacing w:line="252" w:lineRule="exact"/>
            </w:pPr>
            <w:r>
              <w:lastRenderedPageBreak/>
              <w:t>Recommended</w:t>
            </w:r>
            <w:r>
              <w:rPr>
                <w:spacing w:val="-2"/>
              </w:rPr>
              <w:t xml:space="preserve"> </w:t>
            </w:r>
            <w:r>
              <w:t>or</w:t>
            </w:r>
            <w:r>
              <w:rPr>
                <w:spacing w:val="-1"/>
              </w:rPr>
              <w:t xml:space="preserve"> </w:t>
            </w:r>
            <w:r>
              <w:t>required</w:t>
            </w:r>
          </w:p>
          <w:p w14:paraId="4DEB8A42" w14:textId="77777777" w:rsidR="008D0C55" w:rsidRDefault="00F66EB7">
            <w:pPr>
              <w:pStyle w:val="TableParagraph"/>
              <w:spacing w:line="252" w:lineRule="exact"/>
              <w:ind w:right="911"/>
            </w:pPr>
            <w:r>
              <w:t>reading</w:t>
            </w:r>
            <w:r>
              <w:rPr>
                <w:spacing w:val="-6"/>
              </w:rPr>
              <w:t xml:space="preserve"> </w:t>
            </w:r>
            <w:r>
              <w:t>and</w:t>
            </w:r>
            <w:r>
              <w:rPr>
                <w:spacing w:val="-6"/>
              </w:rPr>
              <w:t xml:space="preserve"> </w:t>
            </w:r>
            <w:r>
              <w:t>other</w:t>
            </w:r>
            <w:r>
              <w:rPr>
                <w:spacing w:val="-5"/>
              </w:rPr>
              <w:t xml:space="preserve"> </w:t>
            </w:r>
            <w:r>
              <w:t>learning</w:t>
            </w:r>
            <w:r>
              <w:rPr>
                <w:spacing w:val="-59"/>
              </w:rPr>
              <w:t xml:space="preserve"> </w:t>
            </w:r>
            <w:r>
              <w:t>resources/tools</w:t>
            </w:r>
          </w:p>
        </w:tc>
        <w:tc>
          <w:tcPr>
            <w:tcW w:w="6300" w:type="dxa"/>
          </w:tcPr>
          <w:p w14:paraId="133070F6" w14:textId="77777777" w:rsidR="00414B4D" w:rsidRDefault="004D7F65" w:rsidP="00414B4D">
            <w:pPr>
              <w:rPr>
                <w:rFonts w:cs="Arial"/>
              </w:rPr>
            </w:pPr>
            <w:r>
              <w:rPr>
                <w:rFonts w:cs="Arial"/>
              </w:rPr>
              <w:t xml:space="preserve">Followings are the literature references the students can refer to each week: </w:t>
            </w:r>
          </w:p>
          <w:p w14:paraId="5D988C37" w14:textId="1E1CB7C5" w:rsidR="003C7D02" w:rsidRPr="00414B4D" w:rsidRDefault="003C7D02" w:rsidP="00414B4D">
            <w:pPr>
              <w:pStyle w:val="ListParagraph"/>
              <w:numPr>
                <w:ilvl w:val="0"/>
                <w:numId w:val="3"/>
              </w:numPr>
              <w:rPr>
                <w:rFonts w:cs="Arial"/>
              </w:rPr>
            </w:pPr>
            <w:r w:rsidRPr="00951BEF">
              <w:t>Management science journal collection</w:t>
            </w:r>
          </w:p>
          <w:p w14:paraId="4047F6AB" w14:textId="77777777" w:rsidR="003C7D02" w:rsidRPr="00951BEF" w:rsidRDefault="003C7D02" w:rsidP="00414B4D">
            <w:pPr>
              <w:pStyle w:val="TableParagraph"/>
              <w:numPr>
                <w:ilvl w:val="0"/>
                <w:numId w:val="3"/>
              </w:numPr>
            </w:pPr>
            <w:r w:rsidRPr="00951BEF">
              <w:t>Strategic management journal collection</w:t>
            </w:r>
          </w:p>
          <w:p w14:paraId="6812D2BC" w14:textId="77777777" w:rsidR="00414B4D" w:rsidRDefault="003C7D02" w:rsidP="00414B4D">
            <w:pPr>
              <w:pStyle w:val="TableParagraph"/>
              <w:numPr>
                <w:ilvl w:val="0"/>
                <w:numId w:val="3"/>
              </w:numPr>
            </w:pPr>
            <w:r w:rsidRPr="00951BEF">
              <w:t>Operations and logistics management journal collection</w:t>
            </w:r>
          </w:p>
          <w:p w14:paraId="6F17AA4A" w14:textId="7A81FEA4" w:rsidR="004D7F65" w:rsidRPr="00951BEF" w:rsidRDefault="003C7D02" w:rsidP="00414B4D">
            <w:pPr>
              <w:pStyle w:val="TableParagraph"/>
              <w:numPr>
                <w:ilvl w:val="0"/>
                <w:numId w:val="3"/>
              </w:numPr>
            </w:pPr>
            <w:r w:rsidRPr="00951BEF">
              <w:t>Collection of supply chain management journals and information systems</w:t>
            </w:r>
          </w:p>
          <w:p w14:paraId="197AF669" w14:textId="4C33AE91" w:rsidR="003C7D02" w:rsidRPr="00951BEF" w:rsidRDefault="004D7F65" w:rsidP="00414B4D">
            <w:pPr>
              <w:pStyle w:val="TableParagraph"/>
              <w:numPr>
                <w:ilvl w:val="0"/>
                <w:numId w:val="3"/>
              </w:numPr>
            </w:pPr>
            <w:r>
              <w:rPr>
                <w:rFonts w:cs="Arial"/>
              </w:rPr>
              <w:t>O</w:t>
            </w:r>
            <w:r w:rsidR="003C7D02" w:rsidRPr="004D7F65">
              <w:rPr>
                <w:rFonts w:cs="Arial"/>
              </w:rPr>
              <w:t>ther books and articles</w:t>
            </w:r>
            <w:r>
              <w:rPr>
                <w:rFonts w:cs="Arial"/>
              </w:rPr>
              <w:t xml:space="preserve"> whose the</w:t>
            </w:r>
            <w:r w:rsidR="003C7D02" w:rsidRPr="004D7F65">
              <w:rPr>
                <w:rFonts w:cs="Arial"/>
              </w:rPr>
              <w:t xml:space="preserve"> topics</w:t>
            </w:r>
            <w:r>
              <w:rPr>
                <w:rFonts w:cs="Arial"/>
              </w:rPr>
              <w:t xml:space="preserve"> are</w:t>
            </w:r>
            <w:r w:rsidR="003C7D02" w:rsidRPr="004D7F65">
              <w:rPr>
                <w:rFonts w:cs="Arial"/>
              </w:rPr>
              <w:t xml:space="preserve"> adapted to</w:t>
            </w:r>
            <w:r>
              <w:rPr>
                <w:rFonts w:cs="Arial"/>
              </w:rPr>
              <w:t xml:space="preserve"> the</w:t>
            </w:r>
            <w:r w:rsidR="003C7D02" w:rsidRPr="004D7F65">
              <w:rPr>
                <w:rFonts w:cs="Arial"/>
              </w:rPr>
              <w:t xml:space="preserve"> learning materials.</w:t>
            </w:r>
          </w:p>
        </w:tc>
      </w:tr>
      <w:tr w:rsidR="00F66EB7" w14:paraId="37E4A86E" w14:textId="77777777">
        <w:trPr>
          <w:trHeight w:val="759"/>
        </w:trPr>
        <w:tc>
          <w:tcPr>
            <w:tcW w:w="3562" w:type="dxa"/>
          </w:tcPr>
          <w:p w14:paraId="00F0D4DE" w14:textId="77777777" w:rsidR="00F66EB7" w:rsidRDefault="00F66EB7">
            <w:pPr>
              <w:pStyle w:val="TableParagraph"/>
              <w:ind w:right="478"/>
            </w:pPr>
            <w:r>
              <w:t>Planned learning activities and</w:t>
            </w:r>
            <w:r>
              <w:rPr>
                <w:spacing w:val="-60"/>
              </w:rPr>
              <w:t xml:space="preserve"> </w:t>
            </w:r>
            <w:r>
              <w:t>teaching</w:t>
            </w:r>
            <w:r>
              <w:rPr>
                <w:spacing w:val="-1"/>
              </w:rPr>
              <w:t xml:space="preserve"> </w:t>
            </w:r>
            <w:r>
              <w:t>methods</w:t>
            </w:r>
          </w:p>
        </w:tc>
        <w:tc>
          <w:tcPr>
            <w:tcW w:w="6300" w:type="dxa"/>
          </w:tcPr>
          <w:p w14:paraId="3222FDA0" w14:textId="77777777" w:rsidR="00F66EB7" w:rsidRPr="00951BEF" w:rsidRDefault="00F66EB7" w:rsidP="00951BEF">
            <w:pPr>
              <w:pStyle w:val="TableParagraph"/>
              <w:numPr>
                <w:ilvl w:val="0"/>
                <w:numId w:val="6"/>
              </w:numPr>
              <w:jc w:val="both"/>
              <w:rPr>
                <w:rFonts w:cs="Arial"/>
              </w:rPr>
            </w:pPr>
            <w:r w:rsidRPr="00951BEF">
              <w:rPr>
                <w:rFonts w:cs="Arial"/>
              </w:rPr>
              <w:t>Lectures</w:t>
            </w:r>
          </w:p>
          <w:p w14:paraId="0368A6B7" w14:textId="77777777" w:rsidR="00F66EB7" w:rsidRPr="00951BEF" w:rsidRDefault="00F66EB7" w:rsidP="00951BEF">
            <w:pPr>
              <w:pStyle w:val="TableParagraph"/>
              <w:numPr>
                <w:ilvl w:val="0"/>
                <w:numId w:val="6"/>
              </w:numPr>
              <w:jc w:val="both"/>
              <w:rPr>
                <w:rFonts w:cs="Arial"/>
              </w:rPr>
            </w:pPr>
            <w:r w:rsidRPr="00951BEF">
              <w:rPr>
                <w:rFonts w:cs="Arial"/>
              </w:rPr>
              <w:t>Discussion or Work Group</w:t>
            </w:r>
          </w:p>
          <w:p w14:paraId="60D07350" w14:textId="77777777" w:rsidR="00F66EB7" w:rsidRPr="00951BEF" w:rsidRDefault="00F66EB7" w:rsidP="00951BEF">
            <w:pPr>
              <w:pStyle w:val="TableParagraph"/>
              <w:numPr>
                <w:ilvl w:val="0"/>
                <w:numId w:val="6"/>
              </w:numPr>
              <w:jc w:val="both"/>
              <w:rPr>
                <w:rFonts w:cs="Arial"/>
              </w:rPr>
            </w:pPr>
            <w:r w:rsidRPr="00951BEF">
              <w:rPr>
                <w:rFonts w:cs="Arial"/>
              </w:rPr>
              <w:t>Presentation</w:t>
            </w:r>
          </w:p>
        </w:tc>
      </w:tr>
      <w:tr w:rsidR="00F66EB7" w14:paraId="77813487" w14:textId="77777777">
        <w:trPr>
          <w:trHeight w:val="506"/>
        </w:trPr>
        <w:tc>
          <w:tcPr>
            <w:tcW w:w="3562" w:type="dxa"/>
          </w:tcPr>
          <w:p w14:paraId="5A1E5661" w14:textId="77777777" w:rsidR="00F66EB7" w:rsidRDefault="00F66EB7">
            <w:pPr>
              <w:pStyle w:val="TableParagraph"/>
              <w:spacing w:line="250" w:lineRule="exact"/>
            </w:pPr>
            <w:r>
              <w:t>Language</w:t>
            </w:r>
            <w:r>
              <w:rPr>
                <w:spacing w:val="-2"/>
              </w:rPr>
              <w:t xml:space="preserve"> </w:t>
            </w:r>
            <w:r>
              <w:t>of</w:t>
            </w:r>
            <w:r>
              <w:rPr>
                <w:spacing w:val="-3"/>
              </w:rPr>
              <w:t xml:space="preserve"> </w:t>
            </w:r>
            <w:r>
              <w:t>instruction</w:t>
            </w:r>
          </w:p>
        </w:tc>
        <w:tc>
          <w:tcPr>
            <w:tcW w:w="6300" w:type="dxa"/>
          </w:tcPr>
          <w:p w14:paraId="58E4BFF2" w14:textId="77777777" w:rsidR="00F66EB7" w:rsidRPr="00951BEF" w:rsidRDefault="00F66EB7" w:rsidP="00951BEF">
            <w:pPr>
              <w:pStyle w:val="TableParagraph"/>
              <w:numPr>
                <w:ilvl w:val="0"/>
                <w:numId w:val="6"/>
              </w:numPr>
              <w:jc w:val="both"/>
              <w:rPr>
                <w:rFonts w:cs="Arial"/>
              </w:rPr>
            </w:pPr>
            <w:r w:rsidRPr="00951BEF">
              <w:rPr>
                <w:rFonts w:cs="Arial"/>
              </w:rPr>
              <w:t>English</w:t>
            </w:r>
          </w:p>
          <w:p w14:paraId="5AA498A7" w14:textId="77777777" w:rsidR="00F66EB7" w:rsidRPr="00951BEF" w:rsidRDefault="00F66EB7" w:rsidP="00951BEF">
            <w:pPr>
              <w:pStyle w:val="TableParagraph"/>
              <w:numPr>
                <w:ilvl w:val="0"/>
                <w:numId w:val="6"/>
              </w:numPr>
              <w:jc w:val="both"/>
              <w:rPr>
                <w:rFonts w:cs="Arial"/>
              </w:rPr>
            </w:pPr>
            <w:r w:rsidRPr="00951BEF">
              <w:rPr>
                <w:rFonts w:cs="Arial"/>
              </w:rPr>
              <w:t>Indonesia</w:t>
            </w:r>
          </w:p>
        </w:tc>
      </w:tr>
      <w:tr w:rsidR="00F66EB7" w14:paraId="2B0DC675" w14:textId="77777777">
        <w:trPr>
          <w:trHeight w:val="506"/>
        </w:trPr>
        <w:tc>
          <w:tcPr>
            <w:tcW w:w="3562" w:type="dxa"/>
          </w:tcPr>
          <w:p w14:paraId="32C91488" w14:textId="77777777" w:rsidR="00F66EB7" w:rsidRDefault="00F66EB7">
            <w:pPr>
              <w:pStyle w:val="TableParagraph"/>
              <w:spacing w:line="254" w:lineRule="exact"/>
              <w:ind w:right="947"/>
            </w:pPr>
            <w:r>
              <w:t>Assessment</w:t>
            </w:r>
            <w:r>
              <w:rPr>
                <w:spacing w:val="-9"/>
              </w:rPr>
              <w:t xml:space="preserve"> </w:t>
            </w:r>
            <w:r>
              <w:t>methods</w:t>
            </w:r>
            <w:r>
              <w:rPr>
                <w:spacing w:val="-7"/>
              </w:rPr>
              <w:t xml:space="preserve"> </w:t>
            </w:r>
            <w:r>
              <w:t>and</w:t>
            </w:r>
            <w:r>
              <w:rPr>
                <w:spacing w:val="-58"/>
              </w:rPr>
              <w:t xml:space="preserve"> </w:t>
            </w:r>
            <w:r>
              <w:t>criteria</w:t>
            </w:r>
          </w:p>
        </w:tc>
        <w:tc>
          <w:tcPr>
            <w:tcW w:w="6300" w:type="dxa"/>
          </w:tcPr>
          <w:p w14:paraId="6725780D" w14:textId="6FBA8253" w:rsidR="00F66EB7" w:rsidRPr="00951BEF" w:rsidRDefault="00F66EB7" w:rsidP="00951BEF">
            <w:pPr>
              <w:pStyle w:val="TableParagraph"/>
              <w:ind w:left="0"/>
              <w:jc w:val="both"/>
              <w:rPr>
                <w:rFonts w:cs="Arial"/>
              </w:rPr>
            </w:pPr>
            <w:r w:rsidRPr="00951BEF">
              <w:rPr>
                <w:rFonts w:cs="Arial"/>
              </w:rPr>
              <w:t xml:space="preserve">In order to pass this course, </w:t>
            </w:r>
            <w:r w:rsidR="004D7F65">
              <w:rPr>
                <w:rFonts w:cs="Arial"/>
              </w:rPr>
              <w:t xml:space="preserve">the </w:t>
            </w:r>
            <w:r w:rsidRPr="00951BEF">
              <w:rPr>
                <w:rFonts w:cs="Arial"/>
              </w:rPr>
              <w:t xml:space="preserve">students must </w:t>
            </w:r>
            <w:r w:rsidR="004D7F65">
              <w:rPr>
                <w:rFonts w:cs="Arial"/>
              </w:rPr>
              <w:t>meet the followings</w:t>
            </w:r>
            <w:r w:rsidRPr="00951BEF">
              <w:rPr>
                <w:rFonts w:cs="Arial"/>
              </w:rPr>
              <w:t>:</w:t>
            </w:r>
          </w:p>
          <w:p w14:paraId="237B71FA" w14:textId="75BCBCE0" w:rsidR="00F66EB7" w:rsidRPr="00951BEF" w:rsidRDefault="00F66EB7" w:rsidP="00951BEF">
            <w:pPr>
              <w:pStyle w:val="TableParagraph"/>
              <w:numPr>
                <w:ilvl w:val="0"/>
                <w:numId w:val="4"/>
              </w:numPr>
              <w:jc w:val="both"/>
              <w:rPr>
                <w:rFonts w:cs="Arial"/>
              </w:rPr>
            </w:pPr>
            <w:r w:rsidRPr="00951BEF">
              <w:rPr>
                <w:rFonts w:cs="Arial"/>
              </w:rPr>
              <w:t>Be</w:t>
            </w:r>
            <w:r w:rsidR="004D7F65">
              <w:rPr>
                <w:rFonts w:cs="Arial"/>
              </w:rPr>
              <w:t>ing</w:t>
            </w:r>
            <w:r w:rsidRPr="00951BEF">
              <w:rPr>
                <w:rFonts w:cs="Arial"/>
              </w:rPr>
              <w:t xml:space="preserve"> punctual and </w:t>
            </w:r>
            <w:r w:rsidR="004D7F65">
              <w:rPr>
                <w:rFonts w:cs="Arial"/>
              </w:rPr>
              <w:t>meeting</w:t>
            </w:r>
            <w:r w:rsidRPr="00951BEF">
              <w:rPr>
                <w:rFonts w:cs="Arial"/>
              </w:rPr>
              <w:t xml:space="preserve"> 75% </w:t>
            </w:r>
            <w:r w:rsidR="004D7F65">
              <w:rPr>
                <w:rFonts w:cs="Arial"/>
              </w:rPr>
              <w:t xml:space="preserve">attendance </w:t>
            </w:r>
            <w:r w:rsidRPr="00951BEF">
              <w:rPr>
                <w:rFonts w:cs="Arial"/>
              </w:rPr>
              <w:t>of</w:t>
            </w:r>
            <w:r w:rsidR="004D7F65">
              <w:rPr>
                <w:rFonts w:cs="Arial"/>
              </w:rPr>
              <w:t xml:space="preserve"> the</w:t>
            </w:r>
            <w:r w:rsidRPr="00951BEF">
              <w:rPr>
                <w:rFonts w:cs="Arial"/>
              </w:rPr>
              <w:t xml:space="preserve"> scheduled classes</w:t>
            </w:r>
            <w:r w:rsidR="004D7F65">
              <w:rPr>
                <w:rFonts w:cs="Arial"/>
              </w:rPr>
              <w:t>.</w:t>
            </w:r>
          </w:p>
          <w:p w14:paraId="51D042D6" w14:textId="6EFFBA69" w:rsidR="00F66EB7" w:rsidRPr="00951BEF" w:rsidRDefault="004D7F65" w:rsidP="00951BEF">
            <w:pPr>
              <w:pStyle w:val="TableParagraph"/>
              <w:numPr>
                <w:ilvl w:val="0"/>
                <w:numId w:val="4"/>
              </w:numPr>
              <w:jc w:val="both"/>
              <w:rPr>
                <w:rFonts w:cs="Arial"/>
              </w:rPr>
            </w:pPr>
            <w:r>
              <w:rPr>
                <w:rFonts w:cs="Arial"/>
              </w:rPr>
              <w:t>Achieving</w:t>
            </w:r>
            <w:r w:rsidR="00F66EB7" w:rsidRPr="00951BEF">
              <w:rPr>
                <w:rFonts w:cs="Arial"/>
              </w:rPr>
              <w:t xml:space="preserve"> a satisfactory attempt at all assessment tasks listed below:</w:t>
            </w:r>
          </w:p>
          <w:p w14:paraId="3DA0DC5E" w14:textId="639F4B46" w:rsidR="00F66EB7" w:rsidRPr="00951BEF" w:rsidRDefault="00F66EB7" w:rsidP="00951BEF">
            <w:pPr>
              <w:pStyle w:val="TableParagraph"/>
              <w:jc w:val="both"/>
              <w:rPr>
                <w:rFonts w:cs="Arial"/>
              </w:rPr>
            </w:pPr>
            <w:r w:rsidRPr="00951BEF">
              <w:rPr>
                <w:rFonts w:cs="Arial"/>
              </w:rPr>
              <w:t>Assessment details:</w:t>
            </w:r>
          </w:p>
          <w:p w14:paraId="5F32C6B5" w14:textId="7117A374" w:rsidR="00F66EB7" w:rsidRPr="00951BEF" w:rsidRDefault="00F66EB7" w:rsidP="00951BEF">
            <w:pPr>
              <w:pStyle w:val="TableParagraph"/>
              <w:numPr>
                <w:ilvl w:val="0"/>
                <w:numId w:val="5"/>
              </w:numPr>
              <w:jc w:val="both"/>
              <w:rPr>
                <w:rFonts w:cs="Arial"/>
              </w:rPr>
            </w:pPr>
            <w:r w:rsidRPr="00951BEF">
              <w:rPr>
                <w:rFonts w:cs="Arial"/>
              </w:rPr>
              <w:t>Discussion and presentation: 20%</w:t>
            </w:r>
          </w:p>
          <w:p w14:paraId="39FDEF50" w14:textId="32E68FFA" w:rsidR="00F66EB7" w:rsidRPr="00951BEF" w:rsidRDefault="00F66EB7" w:rsidP="00951BEF">
            <w:pPr>
              <w:pStyle w:val="TableParagraph"/>
              <w:numPr>
                <w:ilvl w:val="0"/>
                <w:numId w:val="5"/>
              </w:numPr>
              <w:jc w:val="both"/>
              <w:rPr>
                <w:rFonts w:cs="Arial"/>
              </w:rPr>
            </w:pPr>
            <w:r w:rsidRPr="00951BEF">
              <w:rPr>
                <w:rFonts w:cs="Arial"/>
              </w:rPr>
              <w:t>Mid semester examinations: 30%</w:t>
            </w:r>
          </w:p>
          <w:p w14:paraId="5DD29692" w14:textId="522E46F5" w:rsidR="00F66EB7" w:rsidRPr="00951BEF" w:rsidRDefault="00F66EB7" w:rsidP="00951BEF">
            <w:pPr>
              <w:pStyle w:val="TableParagraph"/>
              <w:numPr>
                <w:ilvl w:val="0"/>
                <w:numId w:val="5"/>
              </w:numPr>
              <w:jc w:val="both"/>
              <w:rPr>
                <w:rFonts w:cs="Arial"/>
              </w:rPr>
            </w:pPr>
            <w:r w:rsidRPr="00951BEF">
              <w:rPr>
                <w:rFonts w:cs="Arial"/>
              </w:rPr>
              <w:t>Final papers: 50%</w:t>
            </w:r>
          </w:p>
          <w:p w14:paraId="72E735F4" w14:textId="77777777" w:rsidR="00F66EB7" w:rsidRPr="00951BEF" w:rsidRDefault="00F66EB7" w:rsidP="00951BEF">
            <w:pPr>
              <w:pStyle w:val="TableParagraph"/>
              <w:ind w:left="0"/>
              <w:jc w:val="both"/>
            </w:pPr>
          </w:p>
        </w:tc>
      </w:tr>
    </w:tbl>
    <w:p w14:paraId="4A8330DF" w14:textId="77777777" w:rsidR="008D0C55" w:rsidRDefault="008D0C55">
      <w:pPr>
        <w:pStyle w:val="BodyText"/>
        <w:rPr>
          <w:sz w:val="26"/>
        </w:rPr>
      </w:pPr>
    </w:p>
    <w:p w14:paraId="25F6C7F6" w14:textId="77777777" w:rsidR="008D0C55" w:rsidRDefault="008D0C55">
      <w:pPr>
        <w:pStyle w:val="BodyText"/>
        <w:rPr>
          <w:sz w:val="26"/>
        </w:rPr>
      </w:pPr>
    </w:p>
    <w:p w14:paraId="0761DFE5" w14:textId="77777777" w:rsidR="008D0C55" w:rsidRDefault="008D0C55">
      <w:pPr>
        <w:pStyle w:val="BodyText"/>
        <w:rPr>
          <w:sz w:val="26"/>
        </w:rPr>
      </w:pPr>
    </w:p>
    <w:p w14:paraId="50D6F828" w14:textId="77777777" w:rsidR="008D0C55" w:rsidRDefault="008D0C55">
      <w:pPr>
        <w:pStyle w:val="BodyText"/>
        <w:rPr>
          <w:sz w:val="26"/>
        </w:rPr>
      </w:pPr>
    </w:p>
    <w:p w14:paraId="61FAF790" w14:textId="77777777" w:rsidR="008D0C55" w:rsidRDefault="008D0C55">
      <w:pPr>
        <w:pStyle w:val="BodyText"/>
        <w:spacing w:before="4"/>
        <w:rPr>
          <w:sz w:val="25"/>
        </w:rPr>
      </w:pPr>
    </w:p>
    <w:p w14:paraId="73F831C4" w14:textId="77777777" w:rsidR="008D0C55" w:rsidRDefault="00F66EB7">
      <w:pPr>
        <w:spacing w:before="1"/>
        <w:ind w:left="257"/>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FIBAA –</w:t>
      </w:r>
      <w:r>
        <w:rPr>
          <w:rFonts w:ascii="Times New Roman" w:hAnsi="Times New Roman"/>
          <w:spacing w:val="-1"/>
          <w:sz w:val="24"/>
        </w:rPr>
        <w:t xml:space="preserve"> </w:t>
      </w:r>
      <w:r>
        <w:rPr>
          <w:rFonts w:ascii="Times New Roman" w:hAnsi="Times New Roman"/>
          <w:sz w:val="24"/>
        </w:rPr>
        <w:t>December 2020</w:t>
      </w:r>
    </w:p>
    <w:sectPr w:rsidR="008D0C55">
      <w:type w:val="continuous"/>
      <w:pgSz w:w="11910" w:h="16840"/>
      <w:pgMar w:top="700" w:right="6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0B16"/>
    <w:multiLevelType w:val="hybridMultilevel"/>
    <w:tmpl w:val="07103DE6"/>
    <w:lvl w:ilvl="0" w:tplc="49965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E484C"/>
    <w:multiLevelType w:val="hybridMultilevel"/>
    <w:tmpl w:val="91D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371D4"/>
    <w:multiLevelType w:val="hybridMultilevel"/>
    <w:tmpl w:val="4FD8A2F8"/>
    <w:lvl w:ilvl="0" w:tplc="25707CC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20118"/>
    <w:multiLevelType w:val="hybridMultilevel"/>
    <w:tmpl w:val="FE2C60AE"/>
    <w:lvl w:ilvl="0" w:tplc="0636BF92">
      <w:start w:val="1"/>
      <w:numFmt w:val="bullet"/>
      <w:lvlText w:val="-"/>
      <w:lvlJc w:val="left"/>
      <w:pPr>
        <w:ind w:left="429" w:hanging="360"/>
      </w:pPr>
      <w:rPr>
        <w:rFonts w:ascii="Times New Roman" w:eastAsia="Arial MT" w:hAnsi="Times New Roman" w:cs="Times New Roma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4" w15:restartNumberingAfterBreak="0">
    <w:nsid w:val="6A6F75FF"/>
    <w:multiLevelType w:val="hybridMultilevel"/>
    <w:tmpl w:val="E272C7F8"/>
    <w:lvl w:ilvl="0" w:tplc="FC640E8E">
      <w:start w:val="1"/>
      <w:numFmt w:val="bullet"/>
      <w:lvlText w:val="-"/>
      <w:lvlJc w:val="left"/>
      <w:pPr>
        <w:ind w:left="429" w:hanging="360"/>
      </w:pPr>
      <w:rPr>
        <w:rFonts w:ascii="Times New Roman" w:eastAsia="Arial MT" w:hAnsi="Times New Roman" w:cs="Times New Roma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5" w15:restartNumberingAfterBreak="0">
    <w:nsid w:val="7C7B5089"/>
    <w:multiLevelType w:val="hybridMultilevel"/>
    <w:tmpl w:val="DE482244"/>
    <w:lvl w:ilvl="0" w:tplc="25707CC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55"/>
    <w:rsid w:val="00036577"/>
    <w:rsid w:val="001203D2"/>
    <w:rsid w:val="003C7D02"/>
    <w:rsid w:val="00414B4D"/>
    <w:rsid w:val="004D7F65"/>
    <w:rsid w:val="007D6360"/>
    <w:rsid w:val="008D0C55"/>
    <w:rsid w:val="00951BEF"/>
    <w:rsid w:val="00EC6CA4"/>
    <w:rsid w:val="00F50854"/>
    <w:rsid w:val="00F66EB7"/>
    <w:rsid w:val="00FB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C1DC"/>
  <w15:docId w15:val="{8F82F62A-3C32-B14F-988E-4AAE0AE8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9"/>
    </w:pPr>
  </w:style>
  <w:style w:type="paragraph" w:styleId="BalloonText">
    <w:name w:val="Balloon Text"/>
    <w:basedOn w:val="Normal"/>
    <w:link w:val="BalloonTextChar"/>
    <w:uiPriority w:val="99"/>
    <w:semiHidden/>
    <w:unhideWhenUsed/>
    <w:rsid w:val="003C7D02"/>
    <w:rPr>
      <w:rFonts w:ascii="Tahoma" w:hAnsi="Tahoma" w:cs="Tahoma"/>
      <w:sz w:val="16"/>
      <w:szCs w:val="16"/>
    </w:rPr>
  </w:style>
  <w:style w:type="character" w:customStyle="1" w:styleId="BalloonTextChar">
    <w:name w:val="Balloon Text Char"/>
    <w:basedOn w:val="DefaultParagraphFont"/>
    <w:link w:val="BalloonText"/>
    <w:uiPriority w:val="99"/>
    <w:semiHidden/>
    <w:rsid w:val="003C7D02"/>
    <w:rPr>
      <w:rFonts w:ascii="Tahoma" w:eastAsia="Arial MT" w:hAnsi="Tahoma" w:cs="Tahoma"/>
      <w:sz w:val="16"/>
      <w:szCs w:val="16"/>
    </w:rPr>
  </w:style>
  <w:style w:type="paragraph" w:styleId="Footer">
    <w:name w:val="footer"/>
    <w:basedOn w:val="Normal"/>
    <w:link w:val="FooterChar"/>
    <w:rsid w:val="003C7D02"/>
    <w:pPr>
      <w:widowControl/>
      <w:tabs>
        <w:tab w:val="center" w:pos="4153"/>
        <w:tab w:val="right" w:pos="8306"/>
      </w:tabs>
      <w:autoSpaceDE/>
      <w:autoSpaceDN/>
    </w:pPr>
    <w:rPr>
      <w:rFonts w:ascii="Arial" w:eastAsia="Times New Roman" w:hAnsi="Arial" w:cs="Times New Roman"/>
    </w:rPr>
  </w:style>
  <w:style w:type="character" w:customStyle="1" w:styleId="FooterChar">
    <w:name w:val="Footer Char"/>
    <w:basedOn w:val="DefaultParagraphFont"/>
    <w:link w:val="Footer"/>
    <w:rsid w:val="003C7D0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DESCRIPTION_Course_Unit_ECTS_User_s_Guide_2015_202012.docx</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DESCRIPTION_Course_Unit_ECTS_User_s_Guide_2015_202012.docx</dc:title>
  <dc:creator>hadadi</dc:creator>
  <cp:lastModifiedBy>Dina Heriyati</cp:lastModifiedBy>
  <cp:revision>4</cp:revision>
  <dcterms:created xsi:type="dcterms:W3CDTF">2021-11-21T21:20:00Z</dcterms:created>
  <dcterms:modified xsi:type="dcterms:W3CDTF">2022-01-04T08:09:00Z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PScript5.dll Version 5.2.2</vt:lpwstr>
  </property>
  <property fmtid="{D5CDD505-2E9C-101B-9397-08002B2CF9AE}" pid="4" name="LastSaved">
    <vt:filetime>2021-09-05T00:00:00Z</vt:filetime>
  </property>
</Properties>
</file>