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ECD2" w14:textId="77777777" w:rsidR="005879B8" w:rsidRDefault="005651D4">
      <w:pPr>
        <w:pStyle w:val="BodyText"/>
        <w:ind w:left="88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297C27A" wp14:editId="030C829D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F260" w14:textId="77777777" w:rsidR="005879B8" w:rsidRDefault="005879B8">
      <w:pPr>
        <w:pStyle w:val="BodyText"/>
      </w:pPr>
    </w:p>
    <w:p w14:paraId="4EEE40CA" w14:textId="77777777" w:rsidR="005879B8" w:rsidRDefault="005651D4">
      <w:pPr>
        <w:pStyle w:val="BodyText"/>
        <w:ind w:left="2947" w:right="2155" w:firstLine="840"/>
      </w:pPr>
      <w:r>
        <w:rPr>
          <w:u w:val="thick"/>
        </w:rPr>
        <w:t>Description of Course Unit</w:t>
      </w:r>
      <w:r>
        <w:rPr>
          <w:spacing w:val="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2021</w:t>
      </w:r>
    </w:p>
    <w:p w14:paraId="25385F26" w14:textId="77777777" w:rsidR="005879B8" w:rsidRDefault="005879B8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5879B8" w14:paraId="3F5A4F83" w14:textId="77777777">
        <w:trPr>
          <w:trHeight w:val="506"/>
        </w:trPr>
        <w:tc>
          <w:tcPr>
            <w:tcW w:w="3562" w:type="dxa"/>
          </w:tcPr>
          <w:p w14:paraId="7EA6FF81" w14:textId="77777777" w:rsidR="005879B8" w:rsidRDefault="005651D4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6300" w:type="dxa"/>
          </w:tcPr>
          <w:p w14:paraId="67A4FBBC" w14:textId="77777777" w:rsidR="005879B8" w:rsidRPr="009A5435" w:rsidRDefault="009A5435">
            <w:pPr>
              <w:pStyle w:val="TableParagraph"/>
              <w:ind w:left="0"/>
            </w:pPr>
            <w:r w:rsidRPr="009A5435">
              <w:t>Human Resources Management Theory</w:t>
            </w:r>
          </w:p>
        </w:tc>
      </w:tr>
      <w:tr w:rsidR="005879B8" w14:paraId="053AE4A9" w14:textId="77777777">
        <w:trPr>
          <w:trHeight w:val="505"/>
        </w:trPr>
        <w:tc>
          <w:tcPr>
            <w:tcW w:w="3562" w:type="dxa"/>
          </w:tcPr>
          <w:p w14:paraId="06A923DE" w14:textId="77777777" w:rsidR="005879B8" w:rsidRDefault="005651D4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6300" w:type="dxa"/>
          </w:tcPr>
          <w:p w14:paraId="21D1B5DF" w14:textId="77777777" w:rsidR="005879B8" w:rsidRPr="009A5435" w:rsidRDefault="009A5435">
            <w:pPr>
              <w:pStyle w:val="TableParagraph"/>
              <w:ind w:left="0"/>
            </w:pPr>
            <w:r w:rsidRPr="009A5435">
              <w:t>MNM801</w:t>
            </w:r>
          </w:p>
        </w:tc>
      </w:tr>
      <w:tr w:rsidR="005879B8" w14:paraId="6285DF08" w14:textId="77777777">
        <w:trPr>
          <w:trHeight w:val="505"/>
        </w:trPr>
        <w:tc>
          <w:tcPr>
            <w:tcW w:w="3562" w:type="dxa"/>
          </w:tcPr>
          <w:p w14:paraId="62AC857B" w14:textId="77777777" w:rsidR="00540AB2" w:rsidRDefault="005651D4">
            <w:pPr>
              <w:pStyle w:val="TableParagraph"/>
              <w:spacing w:line="254" w:lineRule="exact"/>
              <w:ind w:right="288"/>
              <w:rPr>
                <w:spacing w:val="-4"/>
              </w:rPr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</w:p>
          <w:p w14:paraId="3F62E729" w14:textId="2758D62B" w:rsidR="005879B8" w:rsidRDefault="005651D4">
            <w:pPr>
              <w:pStyle w:val="TableParagraph"/>
              <w:spacing w:line="254" w:lineRule="exact"/>
              <w:ind w:right="288"/>
            </w:pPr>
            <w:r>
              <w:t>(</w:t>
            </w:r>
            <w:r w:rsidR="00540AB2">
              <w:t>C</w:t>
            </w:r>
            <w:r>
              <w:t>ompulsory,</w:t>
            </w:r>
            <w:r>
              <w:rPr>
                <w:spacing w:val="-58"/>
              </w:rPr>
              <w:t xml:space="preserve"> </w:t>
            </w:r>
            <w:r>
              <w:t>optional)</w:t>
            </w:r>
          </w:p>
        </w:tc>
        <w:tc>
          <w:tcPr>
            <w:tcW w:w="6300" w:type="dxa"/>
          </w:tcPr>
          <w:p w14:paraId="504AD979" w14:textId="77777777" w:rsidR="005879B8" w:rsidRPr="009A5435" w:rsidRDefault="009A5435">
            <w:pPr>
              <w:pStyle w:val="TableParagraph"/>
              <w:ind w:left="0"/>
            </w:pPr>
            <w:r w:rsidRPr="009A5435">
              <w:t>Optional</w:t>
            </w:r>
          </w:p>
        </w:tc>
      </w:tr>
      <w:tr w:rsidR="005879B8" w14:paraId="7175B15A" w14:textId="77777777">
        <w:trPr>
          <w:trHeight w:val="757"/>
        </w:trPr>
        <w:tc>
          <w:tcPr>
            <w:tcW w:w="3562" w:type="dxa"/>
          </w:tcPr>
          <w:p w14:paraId="44CA1B36" w14:textId="77777777" w:rsidR="005879B8" w:rsidRDefault="005651D4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(according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1882B046" w14:textId="77777777" w:rsidR="005879B8" w:rsidRDefault="005651D4">
            <w:pPr>
              <w:pStyle w:val="TableParagraph"/>
              <w:spacing w:line="250" w:lineRule="atLeast"/>
              <w:ind w:right="210"/>
            </w:pPr>
            <w:r>
              <w:t>EQF: first cycle Bachelor, second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Master)</w:t>
            </w:r>
          </w:p>
        </w:tc>
        <w:tc>
          <w:tcPr>
            <w:tcW w:w="6300" w:type="dxa"/>
          </w:tcPr>
          <w:p w14:paraId="68B1361C" w14:textId="5784A9C4" w:rsidR="005879B8" w:rsidRPr="009A5435" w:rsidRDefault="00540AB2">
            <w:pPr>
              <w:pStyle w:val="TableParagraph"/>
              <w:ind w:left="0"/>
            </w:pPr>
            <w:r>
              <w:t xml:space="preserve">The </w:t>
            </w:r>
            <w:r w:rsidR="009A5435" w:rsidRPr="009A5435">
              <w:t>Third Cycle</w:t>
            </w:r>
            <w:r>
              <w:t xml:space="preserve"> of</w:t>
            </w:r>
            <w:r w:rsidR="009A5435" w:rsidRPr="009A5435">
              <w:t xml:space="preserve"> Doctora</w:t>
            </w:r>
            <w:r>
              <w:t>l Degree Program</w:t>
            </w:r>
          </w:p>
        </w:tc>
      </w:tr>
      <w:tr w:rsidR="005879B8" w14:paraId="2C3DC24F" w14:textId="77777777">
        <w:trPr>
          <w:trHeight w:val="758"/>
        </w:trPr>
        <w:tc>
          <w:tcPr>
            <w:tcW w:w="3562" w:type="dxa"/>
          </w:tcPr>
          <w:p w14:paraId="4B21BA16" w14:textId="77777777" w:rsidR="005879B8" w:rsidRDefault="005651D4">
            <w:pPr>
              <w:pStyle w:val="TableParagraph"/>
              <w:ind w:right="75"/>
            </w:pPr>
            <w:r>
              <w:t>Year of study when the course unit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  <w:p w14:paraId="67ECC983" w14:textId="77777777" w:rsidR="005879B8" w:rsidRDefault="005651D4">
            <w:pPr>
              <w:pStyle w:val="TableParagraph"/>
              <w:spacing w:line="234" w:lineRule="exact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01FB9989" w14:textId="77777777" w:rsidR="005879B8" w:rsidRPr="009A5435" w:rsidRDefault="009A5435">
            <w:pPr>
              <w:pStyle w:val="TableParagraph"/>
              <w:ind w:left="0"/>
            </w:pPr>
            <w:r w:rsidRPr="009A5435">
              <w:t>2020 – 2021</w:t>
            </w:r>
          </w:p>
        </w:tc>
      </w:tr>
      <w:tr w:rsidR="005879B8" w14:paraId="3400B76A" w14:textId="77777777">
        <w:trPr>
          <w:trHeight w:val="759"/>
        </w:trPr>
        <w:tc>
          <w:tcPr>
            <w:tcW w:w="3562" w:type="dxa"/>
          </w:tcPr>
          <w:p w14:paraId="58542A9D" w14:textId="77777777" w:rsidR="005879B8" w:rsidRDefault="005651D4">
            <w:pPr>
              <w:pStyle w:val="TableParagraph"/>
              <w:ind w:right="650"/>
            </w:pPr>
            <w:r>
              <w:t>Semester/trimester when the</w:t>
            </w:r>
            <w:r>
              <w:rPr>
                <w:spacing w:val="-60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</w:tc>
        <w:tc>
          <w:tcPr>
            <w:tcW w:w="6300" w:type="dxa"/>
          </w:tcPr>
          <w:p w14:paraId="2FF3B8AE" w14:textId="77777777" w:rsidR="005879B8" w:rsidRPr="009A5435" w:rsidRDefault="009A5435">
            <w:pPr>
              <w:pStyle w:val="TableParagraph"/>
              <w:ind w:left="0"/>
            </w:pPr>
            <w:r w:rsidRPr="009A5435">
              <w:t>3rd Semester of Doctorate Study</w:t>
            </w:r>
          </w:p>
        </w:tc>
      </w:tr>
      <w:tr w:rsidR="005879B8" w14:paraId="219937F4" w14:textId="77777777">
        <w:trPr>
          <w:trHeight w:val="506"/>
        </w:trPr>
        <w:tc>
          <w:tcPr>
            <w:tcW w:w="3562" w:type="dxa"/>
          </w:tcPr>
          <w:p w14:paraId="1A892CEF" w14:textId="77777777" w:rsidR="005879B8" w:rsidRDefault="005651D4">
            <w:pPr>
              <w:pStyle w:val="TableParagraph"/>
              <w:spacing w:line="250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allocated</w:t>
            </w:r>
          </w:p>
        </w:tc>
        <w:tc>
          <w:tcPr>
            <w:tcW w:w="6300" w:type="dxa"/>
          </w:tcPr>
          <w:p w14:paraId="1B8D94FC" w14:textId="77777777" w:rsidR="005879B8" w:rsidRPr="009A5435" w:rsidRDefault="00211C4D">
            <w:pPr>
              <w:pStyle w:val="TableParagraph"/>
              <w:ind w:left="0"/>
            </w:pPr>
            <w:r>
              <w:t>4.8</w:t>
            </w:r>
            <w:r w:rsidR="009A5435" w:rsidRPr="009A5435">
              <w:t xml:space="preserve"> credits</w:t>
            </w:r>
          </w:p>
        </w:tc>
      </w:tr>
      <w:tr w:rsidR="005879B8" w14:paraId="0B434A66" w14:textId="77777777">
        <w:trPr>
          <w:trHeight w:val="506"/>
        </w:trPr>
        <w:tc>
          <w:tcPr>
            <w:tcW w:w="3562" w:type="dxa"/>
          </w:tcPr>
          <w:p w14:paraId="0E044C28" w14:textId="3103A0A7" w:rsidR="005879B8" w:rsidRDefault="005651D4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lecturer(s)</w:t>
            </w:r>
          </w:p>
        </w:tc>
        <w:tc>
          <w:tcPr>
            <w:tcW w:w="6300" w:type="dxa"/>
          </w:tcPr>
          <w:p w14:paraId="55EA5D11" w14:textId="77777777" w:rsidR="009A5435" w:rsidRPr="009A5435" w:rsidRDefault="009A5435" w:rsidP="009A5435">
            <w:pPr>
              <w:pStyle w:val="ListParagraph"/>
              <w:numPr>
                <w:ilvl w:val="0"/>
                <w:numId w:val="1"/>
              </w:numPr>
              <w:tabs>
                <w:tab w:val="num" w:pos="-1440"/>
                <w:tab w:val="left" w:pos="3060"/>
              </w:tabs>
              <w:jc w:val="both"/>
            </w:pPr>
            <w:r w:rsidRPr="009A5435">
              <w:t>Prof. Dr. Anis Eliyana, SE.,M.Si</w:t>
            </w:r>
          </w:p>
          <w:p w14:paraId="1B013A68" w14:textId="77777777" w:rsidR="009A5435" w:rsidRPr="009A5435" w:rsidRDefault="009A5435" w:rsidP="009A5435">
            <w:pPr>
              <w:pStyle w:val="ListParagraph"/>
              <w:numPr>
                <w:ilvl w:val="0"/>
                <w:numId w:val="1"/>
              </w:numPr>
              <w:tabs>
                <w:tab w:val="num" w:pos="-1440"/>
                <w:tab w:val="left" w:pos="3060"/>
              </w:tabs>
              <w:jc w:val="both"/>
            </w:pPr>
            <w:r w:rsidRPr="009A5435">
              <w:t>Prof.Dr. Fendy Suhariadi, MT.,Psi.</w:t>
            </w:r>
          </w:p>
          <w:p w14:paraId="192A6A78" w14:textId="77777777" w:rsidR="005879B8" w:rsidRPr="009A5435" w:rsidRDefault="009A5435" w:rsidP="009A5435">
            <w:pPr>
              <w:pStyle w:val="TableParagraph"/>
              <w:numPr>
                <w:ilvl w:val="0"/>
                <w:numId w:val="1"/>
              </w:numPr>
              <w:jc w:val="both"/>
            </w:pPr>
            <w:r w:rsidRPr="009A5435">
              <w:t>Dr. Praptini Yulianti, SE, M.Si.</w:t>
            </w:r>
          </w:p>
        </w:tc>
      </w:tr>
      <w:tr w:rsidR="005879B8" w14:paraId="316B257D" w14:textId="77777777">
        <w:trPr>
          <w:trHeight w:val="759"/>
        </w:trPr>
        <w:tc>
          <w:tcPr>
            <w:tcW w:w="3562" w:type="dxa"/>
          </w:tcPr>
          <w:p w14:paraId="2F89E580" w14:textId="1A50A722" w:rsidR="005879B8" w:rsidRDefault="005651D4">
            <w:pPr>
              <w:pStyle w:val="TableParagraph"/>
              <w:ind w:right="258"/>
            </w:pPr>
            <w:r>
              <w:t xml:space="preserve">Learning outcomes </w:t>
            </w:r>
            <w:r w:rsidR="00672136">
              <w:t>of the course unit</w:t>
            </w:r>
          </w:p>
        </w:tc>
        <w:tc>
          <w:tcPr>
            <w:tcW w:w="6300" w:type="dxa"/>
          </w:tcPr>
          <w:p w14:paraId="58362D0D" w14:textId="6E3EBED9" w:rsidR="005879B8" w:rsidRDefault="009A5435" w:rsidP="009A5435">
            <w:pPr>
              <w:pStyle w:val="TableParagraph"/>
              <w:ind w:right="196"/>
              <w:jc w:val="both"/>
              <w:rPr>
                <w:rFonts w:ascii="Times New Roman"/>
              </w:rPr>
            </w:pPr>
            <w:r>
              <w:rPr>
                <w:rFonts w:ascii="Arial" w:hAnsi="Arial" w:cs="Arial"/>
              </w:rPr>
              <w:t xml:space="preserve">By the end of this course, </w:t>
            </w:r>
            <w:r w:rsidR="00540AB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students </w:t>
            </w:r>
            <w:r w:rsidR="00540AB2">
              <w:rPr>
                <w:rFonts w:ascii="Arial" w:hAnsi="Arial" w:cs="Arial"/>
              </w:rPr>
              <w:t>are expected</w:t>
            </w:r>
            <w:r>
              <w:rPr>
                <w:rFonts w:ascii="Arial" w:hAnsi="Arial" w:cs="Arial"/>
              </w:rPr>
              <w:t xml:space="preserve">to </w:t>
            </w:r>
            <w:r w:rsidRPr="009A5435">
              <w:rPr>
                <w:rFonts w:ascii="Arial" w:hAnsi="Arial" w:cs="Arial"/>
              </w:rPr>
              <w:t xml:space="preserve">understand and synthesize </w:t>
            </w:r>
            <w:r w:rsidR="00540AB2">
              <w:rPr>
                <w:rFonts w:ascii="Arial" w:hAnsi="Arial" w:cs="Arial"/>
              </w:rPr>
              <w:t xml:space="preserve">the </w:t>
            </w:r>
            <w:r w:rsidRPr="009A5435">
              <w:rPr>
                <w:rFonts w:ascii="Arial" w:hAnsi="Arial" w:cs="Arial"/>
              </w:rPr>
              <w:t>theories in H</w:t>
            </w:r>
            <w:r w:rsidR="00540AB2">
              <w:rPr>
                <w:rFonts w:ascii="Arial" w:hAnsi="Arial" w:cs="Arial"/>
              </w:rPr>
              <w:t xml:space="preserve">uman </w:t>
            </w:r>
            <w:r w:rsidRPr="009A5435">
              <w:rPr>
                <w:rFonts w:ascii="Arial" w:hAnsi="Arial" w:cs="Arial"/>
              </w:rPr>
              <w:t>R</w:t>
            </w:r>
            <w:r w:rsidR="00540AB2">
              <w:rPr>
                <w:rFonts w:ascii="Arial" w:hAnsi="Arial" w:cs="Arial"/>
              </w:rPr>
              <w:t>esources</w:t>
            </w:r>
            <w:r w:rsidRPr="009A5435">
              <w:rPr>
                <w:rFonts w:ascii="Arial" w:hAnsi="Arial" w:cs="Arial"/>
              </w:rPr>
              <w:t xml:space="preserve"> </w:t>
            </w:r>
            <w:r w:rsidR="00540AB2">
              <w:rPr>
                <w:rFonts w:ascii="Arial" w:hAnsi="Arial" w:cs="Arial"/>
              </w:rPr>
              <w:t>as well as</w:t>
            </w:r>
            <w:r w:rsidRPr="009A5435">
              <w:rPr>
                <w:rFonts w:ascii="Arial" w:hAnsi="Arial" w:cs="Arial"/>
              </w:rPr>
              <w:t xml:space="preserve"> </w:t>
            </w:r>
            <w:r w:rsidR="00540AB2">
              <w:rPr>
                <w:rFonts w:ascii="Arial" w:hAnsi="Arial" w:cs="Arial"/>
              </w:rPr>
              <w:t xml:space="preserve">acquirean </w:t>
            </w:r>
            <w:r w:rsidRPr="009A5435">
              <w:rPr>
                <w:rFonts w:ascii="Arial" w:hAnsi="Arial" w:cs="Arial"/>
              </w:rPr>
              <w:t xml:space="preserve">in-depth </w:t>
            </w:r>
            <w:r w:rsidR="00540AB2">
              <w:rPr>
                <w:rFonts w:ascii="Arial" w:hAnsi="Arial" w:cs="Arial"/>
              </w:rPr>
              <w:t>and as</w:t>
            </w:r>
            <w:r w:rsidRPr="009A5435">
              <w:rPr>
                <w:rFonts w:ascii="Arial" w:hAnsi="Arial" w:cs="Arial"/>
              </w:rPr>
              <w:t xml:space="preserve"> comprehensive knowledge of the disciplines of HR management</w:t>
            </w:r>
            <w:r w:rsidR="00540AB2">
              <w:rPr>
                <w:rFonts w:ascii="Arial" w:hAnsi="Arial" w:cs="Arial"/>
              </w:rPr>
              <w:t>.</w:t>
            </w:r>
            <w:r w:rsidRPr="009A5435">
              <w:rPr>
                <w:rFonts w:ascii="Arial" w:hAnsi="Arial" w:cs="Arial"/>
              </w:rPr>
              <w:t xml:space="preserve"> </w:t>
            </w:r>
            <w:r w:rsidR="00540AB2">
              <w:rPr>
                <w:rFonts w:ascii="Arial" w:hAnsi="Arial" w:cs="Arial"/>
              </w:rPr>
              <w:t xml:space="preserve">in their field of interests. </w:t>
            </w:r>
          </w:p>
        </w:tc>
      </w:tr>
      <w:tr w:rsidR="005879B8" w14:paraId="084A11E5" w14:textId="77777777">
        <w:trPr>
          <w:trHeight w:val="759"/>
        </w:trPr>
        <w:tc>
          <w:tcPr>
            <w:tcW w:w="3562" w:type="dxa"/>
          </w:tcPr>
          <w:p w14:paraId="7689F71C" w14:textId="61D5241B" w:rsidR="005879B8" w:rsidRDefault="00672136">
            <w:pPr>
              <w:pStyle w:val="TableParagraph"/>
              <w:ind w:right="491"/>
            </w:pPr>
            <w:r>
              <w:t>Mode of delivery</w:t>
            </w:r>
            <w:r w:rsidR="005651D4">
              <w:t xml:space="preserve"> (face-to-face,</w:t>
            </w:r>
            <w:r w:rsidR="005651D4">
              <w:rPr>
                <w:spacing w:val="-59"/>
              </w:rPr>
              <w:t xml:space="preserve"> </w:t>
            </w:r>
            <w:r w:rsidR="005651D4">
              <w:t>distance</w:t>
            </w:r>
            <w:r w:rsidR="005651D4">
              <w:rPr>
                <w:spacing w:val="-2"/>
              </w:rPr>
              <w:t xml:space="preserve"> </w:t>
            </w:r>
            <w:r w:rsidR="005651D4">
              <w:t>learning)</w:t>
            </w:r>
          </w:p>
        </w:tc>
        <w:tc>
          <w:tcPr>
            <w:tcW w:w="6300" w:type="dxa"/>
          </w:tcPr>
          <w:p w14:paraId="25D9F10C" w14:textId="77777777" w:rsidR="009A5435" w:rsidRDefault="009A5435" w:rsidP="009A543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Face-to-face </w:t>
            </w:r>
          </w:p>
          <w:p w14:paraId="35012736" w14:textId="77777777" w:rsidR="005879B8" w:rsidRPr="009A5435" w:rsidRDefault="009A5435" w:rsidP="009A5435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5435">
              <w:rPr>
                <w:rFonts w:ascii="Arial" w:hAnsi="Arial" w:cs="Arial"/>
              </w:rPr>
              <w:t>Distance learning using AULA UNAIR (due to pandemic COVID-19 situation)</w:t>
            </w:r>
          </w:p>
        </w:tc>
      </w:tr>
      <w:tr w:rsidR="005879B8" w14:paraId="0542054D" w14:textId="77777777">
        <w:trPr>
          <w:trHeight w:val="758"/>
        </w:trPr>
        <w:tc>
          <w:tcPr>
            <w:tcW w:w="3562" w:type="dxa"/>
          </w:tcPr>
          <w:p w14:paraId="1C9D386A" w14:textId="77777777" w:rsidR="005879B8" w:rsidRDefault="005651D4">
            <w:pPr>
              <w:pStyle w:val="TableParagraph"/>
              <w:ind w:right="442"/>
            </w:pPr>
            <w:r>
              <w:t>Prerequisites and co-requisites</w:t>
            </w:r>
            <w:r>
              <w:rPr>
                <w:spacing w:val="-60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5689F327" w14:textId="77777777" w:rsidR="005879B8" w:rsidRDefault="005879B8" w:rsidP="009A5435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</w:p>
        </w:tc>
      </w:tr>
      <w:tr w:rsidR="005879B8" w14:paraId="6C8A09E4" w14:textId="77777777">
        <w:trPr>
          <w:trHeight w:val="505"/>
        </w:trPr>
        <w:tc>
          <w:tcPr>
            <w:tcW w:w="3562" w:type="dxa"/>
          </w:tcPr>
          <w:p w14:paraId="50D1FE30" w14:textId="48D6FF91" w:rsidR="005879B8" w:rsidRDefault="005651D4">
            <w:pPr>
              <w:pStyle w:val="TableParagraph"/>
              <w:spacing w:line="252" w:lineRule="exact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6300" w:type="dxa"/>
          </w:tcPr>
          <w:p w14:paraId="23115F84" w14:textId="15FE901E" w:rsidR="005879B8" w:rsidRDefault="009A5435" w:rsidP="009A5435">
            <w:pPr>
              <w:pStyle w:val="TableParagraph"/>
              <w:ind w:left="0" w:right="196"/>
              <w:jc w:val="both"/>
              <w:rPr>
                <w:rFonts w:ascii="Times New Roman"/>
              </w:rPr>
            </w:pPr>
            <w:r w:rsidRPr="009A5435">
              <w:rPr>
                <w:rFonts w:ascii="Arial" w:hAnsi="Arial" w:cs="Arial"/>
              </w:rPr>
              <w:t>This course is designed as a</w:t>
            </w:r>
            <w:r w:rsidR="001715B7">
              <w:rPr>
                <w:rFonts w:ascii="Arial" w:hAnsi="Arial" w:cs="Arial"/>
              </w:rPr>
              <w:t xml:space="preserve"> medium to</w:t>
            </w:r>
            <w:r w:rsidRPr="009A5435">
              <w:rPr>
                <w:rFonts w:ascii="Arial" w:hAnsi="Arial" w:cs="Arial"/>
              </w:rPr>
              <w:t xml:space="preserve"> deepen </w:t>
            </w:r>
            <w:r w:rsidR="001715B7">
              <w:rPr>
                <w:rFonts w:ascii="Arial" w:hAnsi="Arial" w:cs="Arial"/>
              </w:rPr>
              <w:t>the</w:t>
            </w:r>
            <w:r w:rsidRPr="009A5435">
              <w:rPr>
                <w:rFonts w:ascii="Arial" w:hAnsi="Arial" w:cs="Arial"/>
              </w:rPr>
              <w:t xml:space="preserve"> </w:t>
            </w:r>
            <w:r w:rsidR="001715B7">
              <w:rPr>
                <w:rFonts w:ascii="Arial" w:hAnsi="Arial" w:cs="Arial"/>
              </w:rPr>
              <w:t>P</w:t>
            </w:r>
            <w:r w:rsidRPr="009A5435">
              <w:rPr>
                <w:rFonts w:ascii="Arial" w:hAnsi="Arial" w:cs="Arial"/>
              </w:rPr>
              <w:t>hilosophy in the discipline of Human Resource Management (MSDM). Discussions on various theories and philosophies in the discipline of HRM will be presentedin</w:t>
            </w:r>
            <w:r w:rsidR="001715B7">
              <w:rPr>
                <w:rFonts w:ascii="Arial" w:hAnsi="Arial" w:cs="Arial"/>
              </w:rPr>
              <w:t xml:space="preserve"> the</w:t>
            </w:r>
            <w:r w:rsidRPr="009A5435">
              <w:rPr>
                <w:rFonts w:ascii="Arial" w:hAnsi="Arial" w:cs="Arial"/>
              </w:rPr>
              <w:t xml:space="preserve"> class. The material</w:t>
            </w:r>
            <w:r w:rsidR="001715B7">
              <w:rPr>
                <w:rFonts w:ascii="Arial" w:hAnsi="Arial" w:cs="Arial"/>
              </w:rPr>
              <w:t>s</w:t>
            </w:r>
            <w:r w:rsidRPr="009A5435">
              <w:rPr>
                <w:rFonts w:ascii="Arial" w:hAnsi="Arial" w:cs="Arial"/>
              </w:rPr>
              <w:t xml:space="preserve"> presented included the definition and scope of the discipline of HR management, as well as discussions on theories of motivation, conflict, power, culture, etc.</w:t>
            </w:r>
          </w:p>
        </w:tc>
      </w:tr>
      <w:tr w:rsidR="005879B8" w14:paraId="52E8DF37" w14:textId="77777777">
        <w:trPr>
          <w:trHeight w:val="759"/>
        </w:trPr>
        <w:tc>
          <w:tcPr>
            <w:tcW w:w="3562" w:type="dxa"/>
          </w:tcPr>
          <w:p w14:paraId="06AA5FDA" w14:textId="77777777" w:rsidR="005879B8" w:rsidRDefault="005651D4">
            <w:pPr>
              <w:pStyle w:val="TableParagraph"/>
              <w:spacing w:line="252" w:lineRule="exact"/>
            </w:pP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  <w:p w14:paraId="512BD096" w14:textId="77777777" w:rsidR="005879B8" w:rsidRDefault="005651D4">
            <w:pPr>
              <w:pStyle w:val="TableParagraph"/>
              <w:spacing w:line="252" w:lineRule="exact"/>
              <w:ind w:right="911"/>
            </w:pP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9"/>
              </w:rPr>
              <w:t xml:space="preserve"> </w:t>
            </w:r>
            <w:r>
              <w:t>resources/tools</w:t>
            </w:r>
          </w:p>
        </w:tc>
        <w:tc>
          <w:tcPr>
            <w:tcW w:w="6300" w:type="dxa"/>
          </w:tcPr>
          <w:p w14:paraId="7B8269D9" w14:textId="1FAC700F" w:rsidR="009A5435" w:rsidRPr="009A5435" w:rsidRDefault="001715B7" w:rsidP="00FA24AD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Followings are the literature references the students can refer to each week: </w:t>
            </w:r>
            <w:r w:rsidR="00FA24AD">
              <w:rPr>
                <w:rFonts w:cs="Arial"/>
              </w:rPr>
              <w:br/>
            </w:r>
            <w:r w:rsidR="009A5435" w:rsidRPr="00B42879">
              <w:rPr>
                <w:rFonts w:ascii="Arial" w:hAnsi="Arial" w:cs="Arial"/>
              </w:rPr>
              <w:t>Book</w:t>
            </w:r>
            <w:r w:rsidR="00FA24AD">
              <w:rPr>
                <w:rFonts w:ascii="Arial" w:hAnsi="Arial" w:cs="Arial"/>
              </w:rPr>
              <w:t>s</w:t>
            </w:r>
            <w:r w:rsidR="009A5435" w:rsidRPr="00B42879">
              <w:rPr>
                <w:rFonts w:ascii="Arial" w:hAnsi="Arial" w:cs="Arial"/>
              </w:rPr>
              <w:t>:</w:t>
            </w:r>
          </w:p>
          <w:p w14:paraId="552395BA" w14:textId="77777777" w:rsidR="009A5435" w:rsidRPr="009A5435" w:rsidRDefault="009A5435" w:rsidP="009A5435">
            <w:pPr>
              <w:widowControl/>
              <w:numPr>
                <w:ilvl w:val="0"/>
                <w:numId w:val="5"/>
              </w:numPr>
              <w:adjustRightInd w:val="0"/>
              <w:jc w:val="both"/>
              <w:rPr>
                <w:rFonts w:ascii="Arial" w:hAnsi="Arial" w:cs="Arial"/>
              </w:rPr>
            </w:pPr>
            <w:r w:rsidRPr="009A5435">
              <w:rPr>
                <w:rFonts w:ascii="Arial" w:hAnsi="Arial" w:cs="Arial"/>
              </w:rPr>
              <w:t>Bratton J. (2003). Human Resource Management : Theory and Practice, MacMillan Press Ltd.</w:t>
            </w:r>
          </w:p>
          <w:p w14:paraId="5133EFFD" w14:textId="77777777" w:rsidR="009A5435" w:rsidRPr="009A5435" w:rsidRDefault="009A5435" w:rsidP="009A5435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autoSpaceDE/>
              <w:autoSpaceDN/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9A5435">
              <w:rPr>
                <w:rFonts w:ascii="Arial" w:hAnsi="Arial" w:cs="Arial"/>
              </w:rPr>
              <w:t>Ulrich, David (1997). Human Resource Champion, US: The President and Fellows of Harvard Colledge.</w:t>
            </w:r>
          </w:p>
          <w:p w14:paraId="508A9A92" w14:textId="69B3CE18" w:rsidR="009A5435" w:rsidRPr="009A5435" w:rsidRDefault="009A5435" w:rsidP="009A5435">
            <w:pPr>
              <w:pStyle w:val="ListParagraph"/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Journal:</w:t>
            </w:r>
          </w:p>
          <w:p w14:paraId="7058AED3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9A5435">
              <w:t xml:space="preserve">Brant, K. K., &amp; Castro, S. L. (2019). You can’t ignore millennials: Needed changes and a new way forward in entitlement research. Human Resource Management Journal, 29(4), 527–538. </w:t>
            </w:r>
            <w:hyperlink r:id="rId6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https://doi.org/10.1111/1748-</w:t>
              </w:r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lastRenderedPageBreak/>
                <w:t>8583.12262</w:t>
              </w:r>
            </w:hyperlink>
          </w:p>
          <w:p w14:paraId="1537C20D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Byron, K., &amp; Landis, B. (2020). Relational misperceptions in the workplace: New frontiers and challenges. Organization Science, 31(1), 223–242. </w:t>
            </w:r>
            <w:hyperlink r:id="rId7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https://doi.org/10.1287/orsc.2019.1285</w:t>
              </w:r>
            </w:hyperlink>
          </w:p>
          <w:p w14:paraId="171C27B2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De Cremer, D., &amp; Moore, C. (2020). Toward a Better Understanding of Behavioral Ethics in the Workplace. In Annual Review of Organizational Psychology and Organizational Behavior (Vol. 7, pp. 369–393). </w:t>
            </w:r>
            <w:hyperlink r:id="rId8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https://doi.org/10.1146/annurev-orgpsych-012218-015151</w:t>
              </w:r>
            </w:hyperlink>
          </w:p>
          <w:p w14:paraId="2E2B8945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Erdogan, B., &amp; Bauer, T. N. (2021). Overqualification at Work: A Review and Synthesis of the Literature. In Annual Review of Organizational Psychology and Organizational Behavior (Vol. 8, Issue 1, pp. 259–283). </w:t>
            </w:r>
            <w:hyperlink r:id="rId9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https://doi.org/10.1146/annurev-orgpsych-012420-055831</w:t>
              </w:r>
            </w:hyperlink>
          </w:p>
          <w:p w14:paraId="573DD8FB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Furlan, A., Galeazzo, A., &amp; Paggiaro, A. (2019). Organizational and perceived learning in the workplace: A multilevel perspective on employees’ problem solving. Organization Science, 30(2), 280–297. </w:t>
            </w:r>
            <w:hyperlink r:id="rId10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https://doi.org/10.1287/orsc.2018.1274</w:t>
              </w:r>
            </w:hyperlink>
          </w:p>
          <w:p w14:paraId="7ABA08DF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Hughes, D. J., Lee, A., Tian, A. W., Newman, A., &amp; Legood, A. (2018). Leadership, creativity, and innovation: A critical review and practical recommendations. Leadership Quarterly, 29(5), 549–569. </w:t>
            </w:r>
            <w:hyperlink r:id="rId11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https://doi.org/10.1016/j.leaqua.2018.03.001</w:t>
              </w:r>
            </w:hyperlink>
          </w:p>
          <w:p w14:paraId="4DF33E3C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Inceoglu, I., Thomas, G., Chu, C., Plans, D., &amp; Gerbasi, A. (2018). Leadership behavior and employee well-being: An integrated review and a future research agenda. Leadership Quarterly, 29(1), 179–202. </w:t>
            </w:r>
            <w:hyperlink r:id="rId12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https://doi.org/10.1016/j.leaqua.2017.12.006</w:t>
              </w:r>
            </w:hyperlink>
          </w:p>
          <w:p w14:paraId="07A75AF1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Küskü, F., Araci, Ö., &amp; Özbilgin, M. F. (2020). What happens to diversity at work in the context of a toxic triangle? Accounting for the gap between discourses and practices of diversity management. Human Resource Management Journal, October. </w:t>
            </w:r>
            <w:hyperlink r:id="rId13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https://doi.org/10.1111/1748-8583.12324</w:t>
              </w:r>
            </w:hyperlink>
          </w:p>
          <w:p w14:paraId="3A588C8B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Murphy, K. R. (2020). Performance evaluation will not die, but it should. Human Resource Management Journal, 30(1), 13–31. </w:t>
            </w:r>
            <w:hyperlink r:id="rId14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https://doi.org/10.1111/1748-8583.12259</w:t>
              </w:r>
            </w:hyperlink>
          </w:p>
          <w:p w14:paraId="721484CA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Pak, K., Kooij, D. T. A. M., De Lange, A. H., van den Heuvel, S., &amp; Van Veldhoven, M. J. P. M. (2021). The influence of human resource practices on perceived work ability and the preferred retirement age: A latent growth modelling approach. Human Resource Management Journal, 31(1), 311–325. </w:t>
            </w:r>
            <w:hyperlink r:id="rId15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https://doi.org/10.1111/1748-8583.12304</w:t>
              </w:r>
            </w:hyperlink>
          </w:p>
          <w:p w14:paraId="1837207D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 xml:space="preserve">Silic, M., Marzi, G., Caputo, A., &amp; Bal, P. M. (2020). The effects of a gamified human resource management system on job satisfaction and engagement. Human Resource Management Journal, 30(2), 260–277. </w:t>
            </w:r>
            <w:hyperlink r:id="rId16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https://doi.org/10.1111/1748-8583.12272</w:t>
              </w:r>
            </w:hyperlink>
          </w:p>
          <w:p w14:paraId="15E60C7E" w14:textId="77777777" w:rsidR="00C13CC6" w:rsidRPr="005651D4" w:rsidRDefault="009A5435" w:rsidP="00C13CC6">
            <w:pPr>
              <w:pStyle w:val="TableParagraph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5651D4">
              <w:rPr>
                <w:color w:val="000000" w:themeColor="text1"/>
              </w:rPr>
              <w:t>To, C., Leslie, L. M., Torelli, C. J., &amp; Stoner, J. L. (2020). Organizational Behavior and Human Decision Processes Culture and social hierarchy : Collectivism as a driver of the relationship between power and status. Organizational Behavior and Human Decision</w:t>
            </w:r>
            <w:r w:rsidR="00C13CC6" w:rsidRPr="005651D4">
              <w:rPr>
                <w:color w:val="000000" w:themeColor="text1"/>
              </w:rPr>
              <w:t xml:space="preserve"> Processes, 157(December 2019),</w:t>
            </w:r>
            <w:r w:rsidRPr="005651D4">
              <w:rPr>
                <w:color w:val="000000" w:themeColor="text1"/>
              </w:rPr>
              <w:t xml:space="preserve">159–176. </w:t>
            </w:r>
            <w:hyperlink r:id="rId17" w:history="1">
              <w:r w:rsidR="00C13CC6" w:rsidRPr="005651D4">
                <w:rPr>
                  <w:rStyle w:val="Hyperlink"/>
                  <w:color w:val="000000" w:themeColor="text1"/>
                  <w:u w:val="none"/>
                </w:rPr>
                <w:t>https://doi.org/10.1016/j.obhdp.2019.12.006</w:t>
              </w:r>
            </w:hyperlink>
          </w:p>
          <w:p w14:paraId="2203979B" w14:textId="04151A07" w:rsidR="009A5435" w:rsidRPr="009A5435" w:rsidRDefault="009A5435" w:rsidP="00FA24AD">
            <w:pPr>
              <w:pStyle w:val="TableParagraph"/>
              <w:numPr>
                <w:ilvl w:val="0"/>
                <w:numId w:val="8"/>
              </w:numPr>
              <w:jc w:val="both"/>
            </w:pPr>
            <w:r w:rsidRPr="005651D4">
              <w:rPr>
                <w:color w:val="000000" w:themeColor="text1"/>
              </w:rPr>
              <w:t>Yao, J., Crupi, A., Di Minin, A., &amp; Zhang, X. (2020). Knowledge sharing and technological innovation capabilities of Chinese software SMEs. Journal of Knowledge Management, 24(3), 607–634. https://doi.org/10.1108/JKM-08-2019-0445</w:t>
            </w:r>
            <w:r w:rsidRPr="009A5435">
              <w:t>And other  journals and articles</w:t>
            </w:r>
            <w:r w:rsidR="001715B7">
              <w:t>whose the</w:t>
            </w:r>
            <w:r w:rsidRPr="009A5435">
              <w:t xml:space="preserve"> topics</w:t>
            </w:r>
            <w:r w:rsidR="001715B7">
              <w:t xml:space="preserve"> are</w:t>
            </w:r>
            <w:r w:rsidRPr="009A5435">
              <w:t xml:space="preserve"> adapted to</w:t>
            </w:r>
            <w:r w:rsidR="001715B7">
              <w:t xml:space="preserve"> the</w:t>
            </w:r>
            <w:r w:rsidRPr="009A5435">
              <w:t xml:space="preserve"> learning materials.</w:t>
            </w:r>
          </w:p>
          <w:p w14:paraId="7EDBD78B" w14:textId="77777777" w:rsidR="005879B8" w:rsidRDefault="005879B8" w:rsidP="009A5435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</w:tc>
      </w:tr>
      <w:tr w:rsidR="00C13CC6" w14:paraId="5C75899E" w14:textId="77777777">
        <w:trPr>
          <w:trHeight w:val="759"/>
        </w:trPr>
        <w:tc>
          <w:tcPr>
            <w:tcW w:w="3562" w:type="dxa"/>
          </w:tcPr>
          <w:p w14:paraId="4AC8143A" w14:textId="77777777" w:rsidR="00C13CC6" w:rsidRDefault="00C13CC6">
            <w:pPr>
              <w:pStyle w:val="TableParagraph"/>
              <w:ind w:right="478"/>
            </w:pPr>
            <w:r>
              <w:lastRenderedPageBreak/>
              <w:t>Planned learning activities and</w:t>
            </w:r>
            <w:r>
              <w:rPr>
                <w:spacing w:val="-60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6300" w:type="dxa"/>
          </w:tcPr>
          <w:p w14:paraId="78BCC757" w14:textId="77777777" w:rsidR="00C13CC6" w:rsidRPr="00B42879" w:rsidRDefault="00C13CC6" w:rsidP="00C13CC6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Lectures</w:t>
            </w:r>
          </w:p>
          <w:p w14:paraId="7D383F60" w14:textId="77777777" w:rsidR="00C13CC6" w:rsidRPr="00B42879" w:rsidRDefault="00C13CC6" w:rsidP="00C13CC6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Discussion or </w:t>
            </w:r>
            <w:r>
              <w:rPr>
                <w:rFonts w:ascii="Arial" w:hAnsi="Arial" w:cs="Arial"/>
              </w:rPr>
              <w:t>work group</w:t>
            </w:r>
          </w:p>
          <w:p w14:paraId="71E43FEE" w14:textId="77777777" w:rsidR="00C13CC6" w:rsidRPr="00B42879" w:rsidRDefault="00C13CC6" w:rsidP="00C13CC6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Presentation</w:t>
            </w:r>
          </w:p>
        </w:tc>
      </w:tr>
      <w:tr w:rsidR="00C13CC6" w14:paraId="7FEB3ED6" w14:textId="77777777">
        <w:trPr>
          <w:trHeight w:val="506"/>
        </w:trPr>
        <w:tc>
          <w:tcPr>
            <w:tcW w:w="3562" w:type="dxa"/>
          </w:tcPr>
          <w:p w14:paraId="242D4B7D" w14:textId="77777777" w:rsidR="00C13CC6" w:rsidRDefault="00C13CC6">
            <w:pPr>
              <w:pStyle w:val="TableParagraph"/>
              <w:spacing w:line="250" w:lineRule="exact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  <w:tc>
          <w:tcPr>
            <w:tcW w:w="6300" w:type="dxa"/>
          </w:tcPr>
          <w:p w14:paraId="78B5D31F" w14:textId="77777777" w:rsidR="00C13CC6" w:rsidRPr="00B42879" w:rsidRDefault="00C13CC6" w:rsidP="00C13CC6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English</w:t>
            </w:r>
          </w:p>
          <w:p w14:paraId="72714EDC" w14:textId="77777777" w:rsidR="00C13CC6" w:rsidRPr="00B42879" w:rsidRDefault="00C13CC6" w:rsidP="00C13CC6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Indonesia</w:t>
            </w:r>
          </w:p>
        </w:tc>
      </w:tr>
      <w:tr w:rsidR="00C13CC6" w14:paraId="3CAC27E8" w14:textId="77777777">
        <w:trPr>
          <w:trHeight w:val="506"/>
        </w:trPr>
        <w:tc>
          <w:tcPr>
            <w:tcW w:w="3562" w:type="dxa"/>
          </w:tcPr>
          <w:p w14:paraId="7ED68DC0" w14:textId="77777777" w:rsidR="00C13CC6" w:rsidRDefault="00C13CC6">
            <w:pPr>
              <w:pStyle w:val="TableParagraph"/>
              <w:spacing w:line="254" w:lineRule="exact"/>
              <w:ind w:right="947"/>
            </w:pPr>
            <w:r>
              <w:t>Assessment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criteria</w:t>
            </w:r>
          </w:p>
        </w:tc>
        <w:tc>
          <w:tcPr>
            <w:tcW w:w="6300" w:type="dxa"/>
          </w:tcPr>
          <w:p w14:paraId="08090241" w14:textId="7C533091" w:rsidR="00C13CC6" w:rsidRPr="00B42879" w:rsidRDefault="00C13CC6" w:rsidP="00C13CC6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In order to pass this course,</w:t>
            </w:r>
            <w:r w:rsidR="001715B7">
              <w:rPr>
                <w:rFonts w:ascii="Arial" w:hAnsi="Arial" w:cs="Arial"/>
              </w:rPr>
              <w:t xml:space="preserve"> the</w:t>
            </w:r>
            <w:r w:rsidRPr="00B42879">
              <w:rPr>
                <w:rFonts w:ascii="Arial" w:hAnsi="Arial" w:cs="Arial"/>
              </w:rPr>
              <w:t xml:space="preserve"> students must </w:t>
            </w:r>
            <w:r w:rsidR="001715B7">
              <w:rPr>
                <w:rFonts w:ascii="Arial" w:hAnsi="Arial" w:cs="Arial"/>
              </w:rPr>
              <w:t>meet the followings</w:t>
            </w:r>
            <w:r w:rsidRPr="00B42879">
              <w:rPr>
                <w:rFonts w:ascii="Arial" w:hAnsi="Arial" w:cs="Arial"/>
              </w:rPr>
              <w:t>:</w:t>
            </w:r>
          </w:p>
          <w:p w14:paraId="5CA822B2" w14:textId="2A46C4DC" w:rsidR="00C13CC6" w:rsidRPr="00B42879" w:rsidRDefault="00C13CC6" w:rsidP="00C13CC6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B</w:t>
            </w:r>
            <w:r w:rsidR="001715B7">
              <w:rPr>
                <w:rFonts w:ascii="Arial" w:hAnsi="Arial" w:cs="Arial"/>
              </w:rPr>
              <w:t>eing</w:t>
            </w:r>
            <w:r w:rsidRPr="00B42879">
              <w:rPr>
                <w:rFonts w:ascii="Arial" w:hAnsi="Arial" w:cs="Arial"/>
              </w:rPr>
              <w:t xml:space="preserve"> punctual and </w:t>
            </w:r>
            <w:r w:rsidR="001715B7">
              <w:rPr>
                <w:rFonts w:ascii="Arial" w:hAnsi="Arial" w:cs="Arial"/>
              </w:rPr>
              <w:t>meeting</w:t>
            </w:r>
            <w:r w:rsidRPr="00B42879">
              <w:rPr>
                <w:rFonts w:ascii="Arial" w:hAnsi="Arial" w:cs="Arial"/>
              </w:rPr>
              <w:t xml:space="preserve"> 75%</w:t>
            </w:r>
            <w:r w:rsidR="001715B7">
              <w:rPr>
                <w:rFonts w:ascii="Arial" w:hAnsi="Arial" w:cs="Arial"/>
              </w:rPr>
              <w:t xml:space="preserve"> attendance</w:t>
            </w:r>
            <w:r w:rsidRPr="00B42879">
              <w:rPr>
                <w:rFonts w:ascii="Arial" w:hAnsi="Arial" w:cs="Arial"/>
              </w:rPr>
              <w:t xml:space="preserve"> of</w:t>
            </w:r>
            <w:r w:rsidR="001715B7">
              <w:rPr>
                <w:rFonts w:ascii="Arial" w:hAnsi="Arial" w:cs="Arial"/>
              </w:rPr>
              <w:t xml:space="preserve"> the</w:t>
            </w:r>
            <w:r w:rsidRPr="00B42879">
              <w:rPr>
                <w:rFonts w:ascii="Arial" w:hAnsi="Arial" w:cs="Arial"/>
              </w:rPr>
              <w:t xml:space="preserve"> scheduled classes</w:t>
            </w:r>
          </w:p>
          <w:p w14:paraId="3947F183" w14:textId="656C9A96" w:rsidR="00C13CC6" w:rsidRPr="00B42879" w:rsidRDefault="001715B7" w:rsidP="00C13CC6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Achieving</w:t>
            </w:r>
            <w:r w:rsidR="00C13CC6" w:rsidRPr="00B42879">
              <w:rPr>
                <w:rFonts w:ascii="Arial" w:hAnsi="Arial" w:cs="Arial"/>
              </w:rPr>
              <w:t xml:space="preserve"> a satisfactory attempt at all assessment tasks listed below:</w:t>
            </w:r>
          </w:p>
          <w:p w14:paraId="1809092E" w14:textId="4A51C274" w:rsidR="00C13CC6" w:rsidRPr="00B42879" w:rsidRDefault="00C13CC6" w:rsidP="00C13CC6">
            <w:pPr>
              <w:pStyle w:val="TableParagrap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Assessment details:</w:t>
            </w:r>
          </w:p>
          <w:p w14:paraId="2DB1F457" w14:textId="25019F87" w:rsidR="005651D4" w:rsidRPr="005651D4" w:rsidRDefault="005651D4" w:rsidP="005651D4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651D4">
              <w:rPr>
                <w:rFonts w:ascii="Arial" w:hAnsi="Arial" w:cs="Arial"/>
              </w:rPr>
              <w:t>Compile systematic literature review articles</w:t>
            </w:r>
            <w:r>
              <w:rPr>
                <w:rFonts w:ascii="Arial" w:hAnsi="Arial" w:cs="Arial"/>
              </w:rPr>
              <w:t>: 30%</w:t>
            </w:r>
          </w:p>
          <w:p w14:paraId="1EF78426" w14:textId="559A8C35" w:rsidR="005651D4" w:rsidRPr="005651D4" w:rsidRDefault="005651D4" w:rsidP="005651D4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651D4">
              <w:rPr>
                <w:rFonts w:ascii="Arial" w:hAnsi="Arial" w:cs="Arial"/>
              </w:rPr>
              <w:t>Final paper (individual)</w:t>
            </w:r>
            <w:r>
              <w:rPr>
                <w:rFonts w:ascii="Arial" w:hAnsi="Arial" w:cs="Arial"/>
              </w:rPr>
              <w:t>: 50%</w:t>
            </w:r>
          </w:p>
          <w:p w14:paraId="189577C7" w14:textId="3484616E" w:rsidR="00C13CC6" w:rsidRPr="00B42879" w:rsidRDefault="005651D4" w:rsidP="005651D4">
            <w:pPr>
              <w:pStyle w:val="Table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5651D4">
              <w:rPr>
                <w:rFonts w:ascii="Arial" w:hAnsi="Arial" w:cs="Arial"/>
              </w:rPr>
              <w:t>Assignments and presentations</w:t>
            </w:r>
            <w:r>
              <w:rPr>
                <w:rFonts w:ascii="Arial" w:hAnsi="Arial" w:cs="Arial"/>
              </w:rPr>
              <w:t>: 20%</w:t>
            </w:r>
          </w:p>
          <w:p w14:paraId="3920DC31" w14:textId="77777777" w:rsidR="00C13CC6" w:rsidRDefault="00C13CC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383BC89" w14:textId="77777777" w:rsidR="005879B8" w:rsidRDefault="005879B8">
      <w:pPr>
        <w:pStyle w:val="BodyText"/>
        <w:rPr>
          <w:sz w:val="26"/>
        </w:rPr>
      </w:pPr>
    </w:p>
    <w:p w14:paraId="5FE491A9" w14:textId="77777777" w:rsidR="005879B8" w:rsidRDefault="005879B8">
      <w:pPr>
        <w:pStyle w:val="BodyText"/>
        <w:rPr>
          <w:sz w:val="26"/>
        </w:rPr>
      </w:pPr>
    </w:p>
    <w:p w14:paraId="5EB4DB95" w14:textId="77777777" w:rsidR="005879B8" w:rsidRDefault="005879B8">
      <w:pPr>
        <w:pStyle w:val="BodyText"/>
        <w:rPr>
          <w:sz w:val="26"/>
        </w:rPr>
      </w:pPr>
    </w:p>
    <w:p w14:paraId="5B58BF24" w14:textId="77777777" w:rsidR="005879B8" w:rsidRDefault="005879B8">
      <w:pPr>
        <w:pStyle w:val="BodyText"/>
        <w:rPr>
          <w:sz w:val="26"/>
        </w:rPr>
      </w:pPr>
    </w:p>
    <w:p w14:paraId="76A9A403" w14:textId="77777777" w:rsidR="005879B8" w:rsidRDefault="005879B8">
      <w:pPr>
        <w:pStyle w:val="BodyText"/>
        <w:spacing w:before="4"/>
        <w:rPr>
          <w:sz w:val="25"/>
        </w:rPr>
      </w:pPr>
    </w:p>
    <w:p w14:paraId="6506026B" w14:textId="77777777" w:rsidR="005879B8" w:rsidRDefault="005651D4">
      <w:pPr>
        <w:spacing w:before="1"/>
        <w:ind w:lef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FIBAA 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December 2020</w:t>
      </w:r>
    </w:p>
    <w:sectPr w:rsidR="005879B8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494"/>
    <w:multiLevelType w:val="hybridMultilevel"/>
    <w:tmpl w:val="47C23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" w15:restartNumberingAfterBreak="0">
    <w:nsid w:val="40D91200"/>
    <w:multiLevelType w:val="hybridMultilevel"/>
    <w:tmpl w:val="26980518"/>
    <w:lvl w:ilvl="0" w:tplc="B1A69D5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43431740"/>
    <w:multiLevelType w:val="hybridMultilevel"/>
    <w:tmpl w:val="1B46CD06"/>
    <w:lvl w:ilvl="0" w:tplc="BC38537C">
      <w:start w:val="119"/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94F84"/>
    <w:multiLevelType w:val="hybridMultilevel"/>
    <w:tmpl w:val="9872D5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6A6F75FF"/>
    <w:multiLevelType w:val="hybridMultilevel"/>
    <w:tmpl w:val="E272C7F8"/>
    <w:lvl w:ilvl="0" w:tplc="FC640E8E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 w15:restartNumberingAfterBreak="0">
    <w:nsid w:val="723D6114"/>
    <w:multiLevelType w:val="hybridMultilevel"/>
    <w:tmpl w:val="0702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E5FDC"/>
    <w:multiLevelType w:val="hybridMultilevel"/>
    <w:tmpl w:val="6AA6E2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204"/>
    <w:multiLevelType w:val="hybridMultilevel"/>
    <w:tmpl w:val="10C22EDC"/>
    <w:lvl w:ilvl="0" w:tplc="622217A8">
      <w:start w:val="119"/>
      <w:numFmt w:val="bullet"/>
      <w:lvlText w:val="-"/>
      <w:lvlJc w:val="left"/>
      <w:pPr>
        <w:ind w:left="420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B8"/>
    <w:rsid w:val="0013279F"/>
    <w:rsid w:val="001715B7"/>
    <w:rsid w:val="00211C4D"/>
    <w:rsid w:val="002D0CC6"/>
    <w:rsid w:val="00540AB2"/>
    <w:rsid w:val="005651D4"/>
    <w:rsid w:val="005879B8"/>
    <w:rsid w:val="00672136"/>
    <w:rsid w:val="009A5435"/>
    <w:rsid w:val="00C13CC6"/>
    <w:rsid w:val="00D5216D"/>
    <w:rsid w:val="00E4390F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6159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F"/>
    <w:rPr>
      <w:rFonts w:ascii="Tahoma" w:eastAsia="Arial MT" w:hAnsi="Tahoma" w:cs="Tahoma"/>
      <w:sz w:val="16"/>
      <w:szCs w:val="16"/>
    </w:rPr>
  </w:style>
  <w:style w:type="character" w:styleId="PageNumber">
    <w:name w:val="page number"/>
    <w:rsid w:val="009A5435"/>
  </w:style>
  <w:style w:type="character" w:styleId="Hyperlink">
    <w:name w:val="Hyperlink"/>
    <w:basedOn w:val="DefaultParagraphFont"/>
    <w:uiPriority w:val="99"/>
    <w:unhideWhenUsed/>
    <w:rsid w:val="00C13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6/annurev-orgpsych-012218-015151" TargetMode="External"/><Relationship Id="rId13" Type="http://schemas.openxmlformats.org/officeDocument/2006/relationships/hyperlink" Target="https://doi.org/10.1111/1748-8583.123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287/orsc.2019.1285" TargetMode="External"/><Relationship Id="rId12" Type="http://schemas.openxmlformats.org/officeDocument/2006/relationships/hyperlink" Target="https://doi.org/10.1016/j.leaqua.2017.12.006" TargetMode="External"/><Relationship Id="rId17" Type="http://schemas.openxmlformats.org/officeDocument/2006/relationships/hyperlink" Target="https://doi.org/10.1016/j.obhdp.2019.12.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1748-8583.122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11/1748-8583.12262" TargetMode="External"/><Relationship Id="rId11" Type="http://schemas.openxmlformats.org/officeDocument/2006/relationships/hyperlink" Target="https://doi.org/10.1016/j.leaqua.2018.03.00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i.org/10.1111/1748-8583.12304" TargetMode="External"/><Relationship Id="rId10" Type="http://schemas.openxmlformats.org/officeDocument/2006/relationships/hyperlink" Target="https://doi.org/10.1287/orsc.2018.12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46/annurev-orgpsych-012420-055831" TargetMode="External"/><Relationship Id="rId14" Type="http://schemas.openxmlformats.org/officeDocument/2006/relationships/hyperlink" Target="https://doi.org/10.1111/1748-8583.12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3</cp:revision>
  <dcterms:created xsi:type="dcterms:W3CDTF">2021-11-21T21:21:00Z</dcterms:created>
  <dcterms:modified xsi:type="dcterms:W3CDTF">2022-01-04T08:10:00Z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